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312080</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21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August</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impacts on Network verified UE location</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8.26.5.2</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4"/>
        <w:rPr>
          <w:lang w:val="en-US"/>
        </w:rPr>
      </w:pPr>
      <w:r>
        <w:rPr>
          <w:lang w:val="en-US"/>
        </w:rPr>
        <w:t>Intro</w:t>
      </w:r>
      <w:r>
        <w:rPr>
          <w:rStyle w:val="75"/>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lang w:val="en-US"/>
        </w:rPr>
      </w:pPr>
      <w:r>
        <w:t xml:space="preserve">The Rel-18 </w:t>
      </w:r>
      <w:r>
        <w:rPr>
          <w:rFonts w:hint="eastAsia" w:eastAsia="宋体"/>
          <w:lang w:val="en-US" w:eastAsia="zh-CN"/>
        </w:rPr>
        <w:t>WID</w:t>
      </w:r>
      <w:r>
        <w:t xml:space="preserve"> [1] investigates </w:t>
      </w:r>
      <w:r>
        <w:rPr>
          <w:rFonts w:hint="eastAsia" w:eastAsia="宋体"/>
          <w:lang w:val="en-US" w:eastAsia="zh-CN"/>
        </w:rPr>
        <w:t>the network verified UE location</w:t>
      </w:r>
      <w:r>
        <w:rPr>
          <w:rFonts w:hint="eastAsia" w:eastAsia="宋体"/>
          <w:highlight w:val="none"/>
          <w:lang w:val="en-US" w:eastAsia="zh-CN"/>
        </w:rPr>
        <w:t xml:space="preserve"> . T</w:t>
      </w:r>
      <w:r>
        <w:rPr>
          <w:rFonts w:hint="eastAsia" w:eastAsia="宋体"/>
          <w:lang w:val="en-US" w:eastAsia="zh-CN"/>
        </w:rPr>
        <w:t>he detailed description is as the citation in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spacing w:after="0"/>
              <w:rPr>
                <w:bCs/>
              </w:rPr>
            </w:pPr>
            <w:r>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pPr>
              <w:spacing w:after="0"/>
              <w:rPr>
                <w:bCs/>
              </w:rPr>
            </w:pPr>
          </w:p>
          <w:p>
            <w:pPr>
              <w:spacing w:after="0"/>
              <w:rPr>
                <w:bCs/>
              </w:rPr>
            </w:pPr>
            <w:r>
              <w:rPr>
                <w:bCs/>
              </w:rPr>
              <w:t>Note 1: Enhancements assume reuse of the RAT dependent positioning framework</w:t>
            </w:r>
          </w:p>
          <w:p>
            <w:pPr>
              <w:spacing w:after="0"/>
              <w:ind w:left="600" w:hanging="600" w:hangingChars="300"/>
              <w:rPr>
                <w:bCs/>
              </w:rPr>
            </w:pPr>
            <w:r>
              <w:rPr>
                <w:bCs/>
              </w:rPr>
              <w:t>Note 2: The specification of DL-TDOA enhancements will be subject to the study of the impact of realistic UE clock drift onto DL-TDOA performance</w:t>
            </w:r>
          </w:p>
          <w:p>
            <w:pPr>
              <w:spacing w:after="0"/>
              <w:ind w:left="600" w:hanging="600" w:hangingChars="300"/>
              <w:rPr>
                <w:bCs/>
              </w:rPr>
            </w:pPr>
            <w:r>
              <w:rPr>
                <w:bCs/>
              </w:rPr>
              <w:t>Note 3: The target accuracy for position verification purposes is as documented in clause « recommendations » of the 3GPP TR 38.882 (i.e. 10 km granularity)</w:t>
            </w:r>
          </w:p>
          <w:p>
            <w:pPr>
              <w:spacing w:after="0"/>
              <w:rPr>
                <w:bCs/>
              </w:rPr>
            </w:pPr>
            <w:r>
              <w:rPr>
                <w:bCs/>
              </w:rPr>
              <w:t>Note 4 : Multiple satellite in view by the UE may be considered if time allows</w:t>
            </w:r>
          </w:p>
          <w:p>
            <w:pPr>
              <w:spacing w:after="0"/>
              <w:ind w:left="600" w:hanging="600" w:hangingChars="300"/>
              <w:rPr>
                <w:bCs/>
              </w:rPr>
            </w:pPr>
            <w:r>
              <w:rPr>
                <w:bCs/>
              </w:rPr>
              <w:t>Note 5 : The enhancements may be subject to relevant SA WGs (e.g. SA3/SA3-LI) feedbacks on the reliability of UE reports involved</w:t>
            </w:r>
          </w:p>
          <w:p>
            <w:pPr>
              <w:spacing w:after="0"/>
              <w:rPr>
                <w:bCs/>
              </w:rPr>
            </w:pPr>
            <w:r>
              <w:rPr>
                <w:bCs/>
              </w:rPr>
              <w:t>Note 6 : The enhancements should take into account the mirror-image ambiguity</w:t>
            </w:r>
          </w:p>
          <w:p>
            <w:pPr>
              <w:spacing w:after="0"/>
              <w:rPr>
                <w:bCs/>
              </w:rPr>
            </w:pPr>
            <w:r>
              <w:rPr>
                <w:bCs/>
              </w:rPr>
              <w:t>Note 7 : Network verified UE location is an optional UE feature</w:t>
            </w:r>
          </w:p>
          <w:p>
            <w:pPr>
              <w:pStyle w:val="70"/>
              <w:numPr>
                <w:ilvl w:val="0"/>
                <w:numId w:val="0"/>
              </w:numPr>
              <w:rPr>
                <w:b/>
                <w:bCs/>
              </w:rPr>
            </w:pPr>
          </w:p>
        </w:tc>
      </w:tr>
    </w:tbl>
    <w:p>
      <w:pPr>
        <w:spacing w:after="0"/>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rPr>
      </w:pPr>
      <w:r>
        <w:rPr>
          <w:rFonts w:hint="eastAsia" w:eastAsia="宋体"/>
          <w:sz w:val="22"/>
          <w:szCs w:val="22"/>
          <w:lang w:val="en-US" w:eastAsia="zh-CN"/>
        </w:rPr>
        <w:t>In several previous meetings, RAN4 has not discussed too much on this topic since the progress and outcomes provided by RAN1/RAN2 are not adequate enough and there are many pending issues remain to be addressed including concrete scenario, the measurement delay and period requirements, etc.</w:t>
      </w:r>
    </w:p>
    <w:p>
      <w:pPr>
        <w:pStyle w:val="74"/>
        <w:rPr>
          <w:lang w:val="en-US"/>
        </w:rPr>
      </w:pPr>
      <w:r>
        <w:rPr>
          <w:lang w:val="en-US"/>
        </w:rPr>
        <w:t>Discussion</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lang w:val="en-US" w:eastAsia="zh-CN"/>
        </w:rPr>
      </w:pPr>
      <w:r>
        <w:rPr>
          <w:rFonts w:hint="eastAsia"/>
          <w:sz w:val="22"/>
          <w:szCs w:val="22"/>
          <w:lang w:val="en-US" w:eastAsia="zh-CN"/>
        </w:rPr>
        <w:t>RAN#98 meeting has approved that the network verified UE positioning should be a part of the objectives in R18 NR NTN. The objective goes to enable multi-RTT positioning with a single satellite meanwhile I deem that on the heels of clarifying the specific scenario the measurement period and delay requirements shall be defined for UE Rx-Tx measurement.</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lang w:val="en-US" w:eastAsia="zh-CN"/>
        </w:rPr>
      </w:pPr>
      <w:r>
        <w:rPr>
          <w:rFonts w:hint="eastAsia"/>
          <w:sz w:val="22"/>
          <w:szCs w:val="22"/>
          <w:lang w:val="en-US" w:eastAsia="zh-CN"/>
        </w:rPr>
        <w:t>In the legacy Rel-17, compared to NTN scenario the TN positioning on the basis of Multi-RTT method relies on positioning measurement performed on PRS resources transmitted from multi-different TRPs (gNB):</w:t>
      </w:r>
    </w:p>
    <w:p>
      <w:pPr>
        <w:keepNext w:val="0"/>
        <w:keepLines w:val="0"/>
        <w:pageBreakBefore w:val="0"/>
        <w:widowControl/>
        <w:numPr>
          <w:ilvl w:val="0"/>
          <w:numId w:val="3"/>
        </w:numPr>
        <w:kinsoku/>
        <w:wordWrap/>
        <w:overflowPunct/>
        <w:topLinePunct w:val="0"/>
        <w:autoSpaceDE/>
        <w:autoSpaceDN/>
        <w:bidi w:val="0"/>
        <w:adjustRightInd/>
        <w:snapToGrid/>
        <w:spacing w:after="0" w:line="360" w:lineRule="auto"/>
        <w:ind w:left="420" w:leftChars="0" w:hanging="420" w:firstLineChars="0"/>
        <w:jc w:val="both"/>
        <w:textAlignment w:val="auto"/>
        <w:rPr>
          <w:rFonts w:hint="default"/>
          <w:sz w:val="22"/>
          <w:szCs w:val="22"/>
          <w:lang w:val="en-US" w:eastAsia="zh-CN"/>
        </w:rPr>
      </w:pPr>
      <w:r>
        <w:rPr>
          <w:rFonts w:hint="default"/>
          <w:sz w:val="22"/>
          <w:szCs w:val="22"/>
          <w:lang w:val="en-US" w:eastAsia="zh-CN"/>
        </w:rPr>
        <w:t xml:space="preserve">By using the </w:t>
      </w:r>
      <w:r>
        <w:rPr>
          <w:rFonts w:hint="eastAsia"/>
          <w:sz w:val="22"/>
          <w:szCs w:val="22"/>
          <w:lang w:val="en-US" w:eastAsia="zh-CN"/>
        </w:rPr>
        <w:t>RTT</w:t>
      </w:r>
      <w:r>
        <w:rPr>
          <w:rFonts w:hint="default"/>
          <w:sz w:val="22"/>
          <w:szCs w:val="22"/>
          <w:lang w:val="en-US" w:eastAsia="zh-CN"/>
        </w:rPr>
        <w:t xml:space="preserve"> between multiple </w:t>
      </w:r>
      <w:r>
        <w:rPr>
          <w:rFonts w:hint="eastAsia"/>
          <w:sz w:val="22"/>
          <w:szCs w:val="22"/>
          <w:lang w:val="en-US" w:eastAsia="zh-CN"/>
        </w:rPr>
        <w:t>TRPs</w:t>
      </w:r>
      <w:r>
        <w:rPr>
          <w:rFonts w:hint="default"/>
          <w:sz w:val="22"/>
          <w:szCs w:val="22"/>
          <w:lang w:val="en-US" w:eastAsia="zh-CN"/>
        </w:rPr>
        <w:t xml:space="preserve"> and UE to determine the distance , the intersection position of the three circles is the UE position. High time synchronization between the </w:t>
      </w:r>
      <w:r>
        <w:rPr>
          <w:rFonts w:hint="eastAsia"/>
          <w:sz w:val="22"/>
          <w:szCs w:val="22"/>
          <w:lang w:val="en-US" w:eastAsia="zh-CN"/>
        </w:rPr>
        <w:t>TRP</w:t>
      </w:r>
      <w:r>
        <w:rPr>
          <w:rFonts w:hint="default"/>
          <w:sz w:val="22"/>
          <w:szCs w:val="22"/>
          <w:lang w:val="en-US" w:eastAsia="zh-CN"/>
        </w:rPr>
        <w:t xml:space="preserve"> and </w:t>
      </w:r>
      <w:r>
        <w:rPr>
          <w:rFonts w:hint="eastAsia"/>
          <w:sz w:val="22"/>
          <w:szCs w:val="22"/>
          <w:lang w:val="en-US" w:eastAsia="zh-CN"/>
        </w:rPr>
        <w:t>UE</w:t>
      </w:r>
      <w:r>
        <w:rPr>
          <w:rFonts w:hint="default"/>
          <w:sz w:val="22"/>
          <w:szCs w:val="22"/>
          <w:lang w:val="en-US" w:eastAsia="zh-CN"/>
        </w:rPr>
        <w:t xml:space="preserve"> is required.</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sz w:val="22"/>
          <w:szCs w:val="22"/>
          <w:lang w:val="en-US" w:eastAsia="zh-CN"/>
        </w:rPr>
      </w:pPr>
      <w:r>
        <w:rPr>
          <w:rFonts w:hint="default"/>
          <w:sz w:val="22"/>
          <w:szCs w:val="22"/>
          <w:lang w:val="en-US" w:eastAsia="zh-CN"/>
        </w:rPr>
        <w:drawing>
          <wp:inline distT="0" distB="0" distL="114300" distR="114300">
            <wp:extent cx="2248535" cy="1164590"/>
            <wp:effectExtent l="0" t="0" r="0" b="8890"/>
            <wp:docPr id="2" name="图片 2" descr="TN_MULTI_R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TN_MULTI_RTT"/>
                    <pic:cNvPicPr>
                      <a:picLocks noChangeAspect="1"/>
                    </pic:cNvPicPr>
                  </pic:nvPicPr>
                  <pic:blipFill>
                    <a:blip r:embed="rId6"/>
                    <a:stretch>
                      <a:fillRect/>
                    </a:stretch>
                  </pic:blipFill>
                  <pic:spPr>
                    <a:xfrm>
                      <a:off x="0" y="0"/>
                      <a:ext cx="2248535" cy="1164590"/>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sz w:val="22"/>
          <w:szCs w:val="22"/>
          <w:lang w:val="en-US" w:eastAsia="zh-CN"/>
        </w:rPr>
      </w:pPr>
      <w:r>
        <w:rPr>
          <w:rFonts w:hint="eastAsia"/>
          <w:sz w:val="22"/>
          <w:szCs w:val="22"/>
          <w:lang w:val="en-US" w:eastAsia="zh-CN"/>
        </w:rPr>
        <w:t>Figure 1 Multi-RTT positioning in TN</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sz w:val="22"/>
          <w:szCs w:val="22"/>
          <w:lang w:val="en-US" w:eastAsia="zh-CN"/>
        </w:rPr>
      </w:pPr>
      <w:r>
        <w:rPr>
          <w:rFonts w:hint="eastAsia"/>
          <w:sz w:val="22"/>
          <w:szCs w:val="22"/>
          <w:lang w:val="en-US" w:eastAsia="zh-CN"/>
        </w:rPr>
        <w:drawing>
          <wp:inline distT="0" distB="0" distL="114300" distR="114300">
            <wp:extent cx="5305425" cy="1628775"/>
            <wp:effectExtent l="0" t="0" r="0" b="0"/>
            <wp:docPr id="3" name="图片 3" descr="TN_R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TN_RTT"/>
                    <pic:cNvPicPr>
                      <a:picLocks noChangeAspect="1"/>
                    </pic:cNvPicPr>
                  </pic:nvPicPr>
                  <pic:blipFill>
                    <a:blip r:embed="rId7"/>
                    <a:stretch>
                      <a:fillRect/>
                    </a:stretch>
                  </pic:blipFill>
                  <pic:spPr>
                    <a:xfrm>
                      <a:off x="0" y="0"/>
                      <a:ext cx="5305425" cy="1628775"/>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sz w:val="22"/>
          <w:szCs w:val="22"/>
          <w:lang w:val="en-US" w:eastAsia="zh-CN"/>
        </w:rPr>
      </w:pPr>
      <w:r>
        <w:rPr>
          <w:rFonts w:hint="eastAsia"/>
          <w:sz w:val="22"/>
          <w:szCs w:val="22"/>
          <w:lang w:val="en-US" w:eastAsia="zh-CN"/>
        </w:rPr>
        <w:t>Figure 2  Multi-RTT for TN</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default"/>
          <w:sz w:val="22"/>
          <w:szCs w:val="22"/>
          <w:lang w:val="en-US" w:eastAsia="zh-CN"/>
        </w:rPr>
      </w:pPr>
      <w:bookmarkStart w:id="1" w:name="_GoBack"/>
      <w:bookmarkEnd w:id="1"/>
    </w:p>
    <w:p>
      <w:pPr>
        <w:keepNext w:val="0"/>
        <w:keepLines w:val="0"/>
        <w:pageBreakBefore w:val="0"/>
        <w:widowControl/>
        <w:numPr>
          <w:ilvl w:val="0"/>
          <w:numId w:val="4"/>
        </w:numPr>
        <w:kinsoku/>
        <w:wordWrap/>
        <w:overflowPunct/>
        <w:topLinePunct w:val="0"/>
        <w:autoSpaceDE/>
        <w:autoSpaceDN/>
        <w:bidi w:val="0"/>
        <w:adjustRightInd/>
        <w:snapToGrid/>
        <w:spacing w:after="0" w:line="360" w:lineRule="auto"/>
        <w:ind w:left="420" w:leftChars="0" w:hanging="420" w:firstLineChars="0"/>
        <w:jc w:val="both"/>
        <w:textAlignment w:val="auto"/>
        <w:rPr>
          <w:rFonts w:hint="default"/>
          <w:sz w:val="22"/>
          <w:szCs w:val="22"/>
          <w:lang w:val="en-US" w:eastAsia="zh-CN"/>
        </w:rPr>
      </w:pPr>
      <w:r>
        <w:rPr>
          <w:rFonts w:hint="eastAsia"/>
          <w:sz w:val="22"/>
          <w:szCs w:val="22"/>
          <w:lang w:val="en-US" w:eastAsia="zh-CN"/>
        </w:rPr>
        <w:t>Conversely, network verified UE positioning in NTN is allowed to make better use of the multi-RTT measurements performed on PRS resources transmitted from the same TRP (satellite) with different time occasions.</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sz w:val="22"/>
          <w:szCs w:val="22"/>
          <w:lang w:val="en-US" w:eastAsia="zh-CN"/>
        </w:rPr>
      </w:pPr>
      <w:r>
        <w:rPr>
          <w:rFonts w:hint="default"/>
          <w:sz w:val="22"/>
          <w:szCs w:val="22"/>
          <w:lang w:val="en-US" w:eastAsia="zh-CN"/>
        </w:rPr>
        <w:drawing>
          <wp:inline distT="0" distB="0" distL="114300" distR="114300">
            <wp:extent cx="5305425" cy="1714500"/>
            <wp:effectExtent l="0" t="0" r="0" b="0"/>
            <wp:docPr id="4" name="图片 4" descr="NTN_R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NTN_RTT"/>
                    <pic:cNvPicPr>
                      <a:picLocks noChangeAspect="1"/>
                    </pic:cNvPicPr>
                  </pic:nvPicPr>
                  <pic:blipFill>
                    <a:blip r:embed="rId8"/>
                    <a:stretch>
                      <a:fillRect/>
                    </a:stretch>
                  </pic:blipFill>
                  <pic:spPr>
                    <a:xfrm>
                      <a:off x="0" y="0"/>
                      <a:ext cx="5305425" cy="1714500"/>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sz w:val="22"/>
          <w:szCs w:val="22"/>
          <w:lang w:val="en-US" w:eastAsia="zh-CN"/>
        </w:rPr>
      </w:pPr>
      <w:r>
        <w:rPr>
          <w:rFonts w:hint="eastAsia"/>
          <w:sz w:val="22"/>
          <w:szCs w:val="22"/>
          <w:lang w:val="en-US" w:eastAsia="zh-CN"/>
        </w:rPr>
        <w:t>Figure 3 Multi-RTT for NTN</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eastAsia"/>
          <w:sz w:val="22"/>
          <w:szCs w:val="22"/>
          <w:lang w:val="en-US" w:eastAsia="zh-CN"/>
        </w:rPr>
      </w:pPr>
      <w:r>
        <w:rPr>
          <w:rFonts w:hint="eastAsia"/>
          <w:sz w:val="22"/>
          <w:szCs w:val="22"/>
          <w:lang w:val="en-US" w:eastAsia="zh-CN"/>
        </w:rPr>
        <w:t>In RAN1 several agreements as below, we did the illustration for the network verified UE positioning:</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lang w:val="en-US" w:eastAsia="zh-CN"/>
              </w:rPr>
            </w:pPr>
            <w:r>
              <w:rPr>
                <w:rFonts w:hint="eastAsia"/>
                <w:lang w:val="en-US" w:eastAsia="zh-CN"/>
              </w:rPr>
              <w:t>RAN1 #112 meeting:</w:t>
            </w:r>
          </w:p>
          <w:p>
            <w:pPr>
              <w:rPr>
                <w:b/>
                <w:bCs/>
                <w:lang w:val="en-US" w:eastAsia="zh-CN"/>
              </w:rPr>
            </w:pPr>
            <w:r>
              <w:rPr>
                <w:b/>
                <w:bCs/>
                <w:highlight w:val="green"/>
                <w:lang w:val="en-US" w:eastAsia="zh-CN"/>
              </w:rPr>
              <w:t>Agreement</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jc w:val="both"/>
              <w:textAlignment w:val="auto"/>
              <w:rPr>
                <w:highlight w:val="yellow"/>
                <w:lang w:val="en-US" w:eastAsia="zh-CN"/>
              </w:rPr>
            </w:pPr>
            <w:r>
              <w:rPr>
                <w:highlight w:val="yellow"/>
                <w:lang w:val="en-US" w:eastAsia="zh-CN"/>
              </w:rPr>
              <w:t>Existing DL/UL reference signals for positioning are used for supporting Network verified UE location in NTN</w:t>
            </w:r>
          </w:p>
          <w:p>
            <w:pPr>
              <w:rPr>
                <w:rFonts w:hint="eastAsia"/>
                <w:lang w:val="en-US" w:eastAsia="zh-CN"/>
              </w:rPr>
            </w:pPr>
          </w:p>
          <w:p>
            <w:pPr>
              <w:rPr>
                <w:highlight w:val="yellow"/>
                <w:lang w:val="en-US" w:eastAsia="zh-CN"/>
              </w:rPr>
            </w:pPr>
            <w:r>
              <w:rPr>
                <w:rFonts w:hint="eastAsia"/>
                <w:lang w:val="en-US" w:eastAsia="zh-CN"/>
              </w:rPr>
              <w:t>RAN1 #113 meeting:</w:t>
            </w:r>
          </w:p>
          <w:p>
            <w:pPr>
              <w:rPr>
                <w:b/>
                <w:lang w:eastAsia="zh-CN"/>
              </w:rPr>
            </w:pPr>
            <w:r>
              <w:rPr>
                <w:b/>
                <w:highlight w:val="green"/>
                <w:lang w:eastAsia="zh-CN"/>
              </w:rPr>
              <w:t>Agreement</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jc w:val="both"/>
              <w:textAlignment w:val="auto"/>
              <w:rPr>
                <w:rFonts w:hint="default"/>
                <w:highlight w:val="yellow"/>
                <w:lang w:val="en-US" w:eastAsia="zh-CN"/>
              </w:rPr>
            </w:pPr>
            <w:r>
              <w:rPr>
                <w:highlight w:val="yellow"/>
                <w:lang w:eastAsia="zh-CN"/>
              </w:rPr>
              <w:t>For network verified UE location in NTN, satellite ephemeris information should be available at the LMF.</w:t>
            </w:r>
            <w:r>
              <w:rPr>
                <w:rFonts w:hint="eastAsia"/>
                <w:highlight w:val="yellow"/>
                <w:lang w:val="en-US" w:eastAsia="zh-CN"/>
              </w:rPr>
              <w:t xml:space="preserve"> </w:t>
            </w:r>
          </w:p>
        </w:tc>
      </w:tr>
    </w:tbl>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default"/>
          <w:sz w:val="22"/>
          <w:szCs w:val="22"/>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sz w:val="22"/>
          <w:szCs w:val="22"/>
          <w:lang w:val="en-US" w:eastAsia="zh-CN"/>
        </w:rPr>
      </w:pPr>
      <w:r>
        <w:rPr>
          <w:rFonts w:hint="default"/>
          <w:sz w:val="22"/>
          <w:szCs w:val="22"/>
          <w:lang w:val="en-US" w:eastAsia="zh-CN"/>
        </w:rPr>
        <w:drawing>
          <wp:inline distT="0" distB="0" distL="114300" distR="114300">
            <wp:extent cx="4010025" cy="3648075"/>
            <wp:effectExtent l="0" t="0" r="13335" b="9525"/>
            <wp:docPr id="5" name="图片 5" descr="signa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signaling"/>
                    <pic:cNvPicPr>
                      <a:picLocks noChangeAspect="1"/>
                    </pic:cNvPicPr>
                  </pic:nvPicPr>
                  <pic:blipFill>
                    <a:blip r:embed="rId9"/>
                    <a:stretch>
                      <a:fillRect/>
                    </a:stretch>
                  </pic:blipFill>
                  <pic:spPr>
                    <a:xfrm>
                      <a:off x="0" y="0"/>
                      <a:ext cx="4010025" cy="3648075"/>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sz w:val="22"/>
          <w:szCs w:val="22"/>
          <w:lang w:val="en-US" w:eastAsia="zh-CN"/>
        </w:rPr>
      </w:pPr>
      <w:r>
        <w:rPr>
          <w:rFonts w:hint="eastAsia"/>
          <w:sz w:val="22"/>
          <w:szCs w:val="22"/>
          <w:lang w:val="en-US" w:eastAsia="zh-CN"/>
        </w:rPr>
        <w:t xml:space="preserve">Figure 4 the positioning procedure for NTN </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eastAsia"/>
          <w:sz w:val="22"/>
          <w:szCs w:val="22"/>
          <w:lang w:val="en-US" w:eastAsia="zh-CN"/>
        </w:rPr>
      </w:pPr>
      <w:r>
        <w:rPr>
          <w:rFonts w:hint="eastAsia"/>
          <w:sz w:val="22"/>
          <w:szCs w:val="22"/>
          <w:lang w:val="en-US" w:eastAsia="zh-CN"/>
        </w:rPr>
        <w:t>As we just mentioned before, I reckon that we shall clarify the concrete scenario and the processing capability which is defined in RAN1 before the starts of defining related measurements requirements. As the figure 4 shown to us which is based on the TN positioning procedure, we can explain the each step:</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default"/>
          <w:sz w:val="22"/>
          <w:szCs w:val="22"/>
          <w:lang w:val="en-US" w:eastAsia="zh-CN"/>
        </w:rPr>
      </w:pPr>
      <w:r>
        <w:rPr>
          <w:rFonts w:hint="eastAsia"/>
          <w:i/>
          <w:iCs/>
          <w:sz w:val="22"/>
          <w:szCs w:val="22"/>
          <w:lang w:val="en-US" w:eastAsia="zh-CN"/>
        </w:rPr>
        <w:t>Step 1</w:t>
      </w:r>
      <w:r>
        <w:rPr>
          <w:rFonts w:hint="eastAsia"/>
          <w:sz w:val="22"/>
          <w:szCs w:val="22"/>
          <w:lang w:val="en-US" w:eastAsia="zh-CN"/>
        </w:rPr>
        <w:t>: LMF requests satellite ephermeris information from a single satellite.</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default"/>
          <w:sz w:val="22"/>
          <w:szCs w:val="22"/>
          <w:lang w:val="en-US" w:eastAsia="zh-CN"/>
        </w:rPr>
      </w:pPr>
      <w:r>
        <w:rPr>
          <w:rFonts w:hint="eastAsia"/>
          <w:i/>
          <w:iCs/>
          <w:sz w:val="22"/>
          <w:szCs w:val="22"/>
          <w:lang w:val="en-US" w:eastAsia="zh-CN"/>
        </w:rPr>
        <w:t>Step 2:</w:t>
      </w:r>
      <w:r>
        <w:rPr>
          <w:rFonts w:hint="eastAsia"/>
          <w:sz w:val="22"/>
          <w:szCs w:val="22"/>
          <w:lang w:val="en-US" w:eastAsia="zh-CN"/>
        </w:rPr>
        <w:t xml:space="preserve"> The Satellite informs the LMF of the satellite ephermeris information.</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default"/>
          <w:sz w:val="22"/>
          <w:szCs w:val="22"/>
          <w:lang w:val="en-US" w:eastAsia="zh-CN"/>
        </w:rPr>
      </w:pPr>
      <w:r>
        <w:rPr>
          <w:rFonts w:hint="eastAsia"/>
          <w:i/>
          <w:iCs/>
          <w:sz w:val="22"/>
          <w:szCs w:val="22"/>
          <w:lang w:val="en-US" w:eastAsia="zh-CN"/>
        </w:rPr>
        <w:t>Step 3</w:t>
      </w:r>
      <w:r>
        <w:rPr>
          <w:rFonts w:hint="eastAsia"/>
          <w:sz w:val="22"/>
          <w:szCs w:val="22"/>
          <w:lang w:val="en-US" w:eastAsia="zh-CN"/>
        </w:rPr>
        <w:t xml:space="preserve">: LMF provides assistance data to UE. The assistance data here refers to all the auxiliary information </w:t>
      </w:r>
      <w:r>
        <w:rPr>
          <w:rFonts w:hint="eastAsia"/>
          <w:sz w:val="22"/>
          <w:szCs w:val="22"/>
          <w:lang w:val="en-US" w:eastAsia="zh-CN"/>
        </w:rPr>
        <w:tab/>
      </w:r>
      <w:r>
        <w:rPr>
          <w:rFonts w:hint="eastAsia"/>
          <w:sz w:val="22"/>
          <w:szCs w:val="22"/>
          <w:lang w:val="en-US" w:eastAsia="zh-CN"/>
        </w:rPr>
        <w:tab/>
      </w:r>
      <w:r>
        <w:rPr>
          <w:rFonts w:hint="eastAsia"/>
          <w:sz w:val="22"/>
          <w:szCs w:val="22"/>
          <w:lang w:val="en-US" w:eastAsia="zh-CN"/>
        </w:rPr>
        <w:t xml:space="preserve">required by UE to measure DL-PRS and calculate the position during the positioning process, which is </w:t>
      </w:r>
      <w:r>
        <w:rPr>
          <w:rFonts w:hint="eastAsia"/>
          <w:sz w:val="22"/>
          <w:szCs w:val="22"/>
          <w:lang w:val="en-US" w:eastAsia="zh-CN"/>
        </w:rPr>
        <w:tab/>
      </w:r>
      <w:r>
        <w:rPr>
          <w:rFonts w:hint="eastAsia"/>
          <w:sz w:val="22"/>
          <w:szCs w:val="22"/>
          <w:lang w:val="en-US" w:eastAsia="zh-CN"/>
        </w:rPr>
        <w:tab/>
      </w:r>
      <w:r>
        <w:rPr>
          <w:rFonts w:hint="eastAsia"/>
          <w:sz w:val="22"/>
          <w:szCs w:val="22"/>
          <w:lang w:val="en-US" w:eastAsia="zh-CN"/>
        </w:rPr>
        <w:t>called assistance data.</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default"/>
          <w:sz w:val="22"/>
          <w:szCs w:val="22"/>
          <w:lang w:val="en-US" w:eastAsia="zh-CN"/>
        </w:rPr>
      </w:pPr>
      <w:r>
        <w:rPr>
          <w:rFonts w:hint="eastAsia"/>
          <w:i/>
          <w:iCs/>
          <w:sz w:val="22"/>
          <w:szCs w:val="22"/>
          <w:lang w:val="en-US" w:eastAsia="zh-CN"/>
        </w:rPr>
        <w:t>Step 4</w:t>
      </w:r>
      <w:r>
        <w:rPr>
          <w:rFonts w:hint="eastAsia"/>
          <w:sz w:val="22"/>
          <w:szCs w:val="22"/>
          <w:lang w:val="en-US" w:eastAsia="zh-CN"/>
        </w:rPr>
        <w:t xml:space="preserve">: LMF sends location information requests to UE, and the requested information can be the Rx-Tx </w:t>
      </w:r>
      <w:r>
        <w:rPr>
          <w:rFonts w:hint="eastAsia"/>
          <w:sz w:val="22"/>
          <w:szCs w:val="22"/>
          <w:lang w:val="en-US" w:eastAsia="zh-CN"/>
        </w:rPr>
        <w:tab/>
      </w:r>
      <w:r>
        <w:rPr>
          <w:rFonts w:hint="eastAsia"/>
          <w:sz w:val="22"/>
          <w:szCs w:val="22"/>
          <w:lang w:val="en-US" w:eastAsia="zh-CN"/>
        </w:rPr>
        <w:tab/>
      </w:r>
      <w:r>
        <w:rPr>
          <w:rFonts w:hint="eastAsia"/>
          <w:sz w:val="22"/>
          <w:szCs w:val="22"/>
          <w:lang w:val="en-US" w:eastAsia="zh-CN"/>
        </w:rPr>
        <w:tab/>
      </w:r>
      <w:r>
        <w:rPr>
          <w:rFonts w:hint="eastAsia"/>
          <w:sz w:val="22"/>
          <w:szCs w:val="22"/>
          <w:lang w:val="en-US" w:eastAsia="zh-CN"/>
        </w:rPr>
        <w:t>time difference.</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default"/>
          <w:sz w:val="22"/>
          <w:szCs w:val="22"/>
          <w:lang w:val="en-US" w:eastAsia="zh-CN"/>
        </w:rPr>
      </w:pPr>
      <w:r>
        <w:rPr>
          <w:rFonts w:hint="eastAsia"/>
          <w:i/>
          <w:iCs/>
          <w:sz w:val="22"/>
          <w:szCs w:val="22"/>
          <w:lang w:val="en-US" w:eastAsia="zh-CN"/>
        </w:rPr>
        <w:t>Step 5</w:t>
      </w:r>
      <w:r>
        <w:rPr>
          <w:rFonts w:hint="eastAsia"/>
          <w:sz w:val="22"/>
          <w:szCs w:val="22"/>
          <w:lang w:val="en-US" w:eastAsia="zh-CN"/>
        </w:rPr>
        <w:t>: UE measures DL-PRS.</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default"/>
          <w:sz w:val="22"/>
          <w:szCs w:val="22"/>
          <w:lang w:val="en-US" w:eastAsia="zh-CN"/>
        </w:rPr>
      </w:pPr>
      <w:r>
        <w:rPr>
          <w:rFonts w:hint="eastAsia"/>
          <w:i/>
          <w:iCs/>
          <w:sz w:val="22"/>
          <w:szCs w:val="22"/>
          <w:lang w:val="en-US" w:eastAsia="zh-CN"/>
        </w:rPr>
        <w:t>Step 6</w:t>
      </w:r>
      <w:r>
        <w:rPr>
          <w:rFonts w:hint="eastAsia"/>
          <w:sz w:val="22"/>
          <w:szCs w:val="22"/>
          <w:lang w:val="en-US" w:eastAsia="zh-CN"/>
        </w:rPr>
        <w:t>: UE provides the location information to LMF.</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eastAsia"/>
          <w:sz w:val="22"/>
          <w:szCs w:val="22"/>
          <w:lang w:val="en-US" w:eastAsia="zh-CN"/>
        </w:rPr>
      </w:pPr>
      <w:r>
        <w:rPr>
          <w:rFonts w:hint="eastAsia"/>
          <w:sz w:val="22"/>
          <w:szCs w:val="22"/>
          <w:lang w:val="en-US" w:eastAsia="zh-CN"/>
        </w:rPr>
        <w:t xml:space="preserve">The above procedure is a general framework the details need to be discussed in the future based on this framework. </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eastAsia"/>
          <w:b/>
          <w:bCs/>
          <w:sz w:val="22"/>
          <w:szCs w:val="22"/>
          <w:lang w:val="en-US" w:eastAsia="zh-CN"/>
        </w:rPr>
      </w:pPr>
      <w:r>
        <w:rPr>
          <w:rFonts w:hint="eastAsia"/>
          <w:b/>
          <w:bCs/>
          <w:sz w:val="22"/>
          <w:szCs w:val="22"/>
          <w:lang w:val="en-US" w:eastAsia="zh-CN"/>
        </w:rPr>
        <w:t>Proposal 1: RAN4 shall specify the framework of the positioning procedure for NR NTN based on the current agreements in RAN1.</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eastAsia"/>
          <w:b/>
          <w:bCs/>
          <w:sz w:val="22"/>
          <w:szCs w:val="22"/>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eastAsia"/>
          <w:b/>
          <w:bCs/>
          <w:sz w:val="22"/>
          <w:szCs w:val="22"/>
          <w:lang w:val="en-US" w:eastAsia="zh-CN"/>
        </w:rPr>
      </w:pPr>
      <w:r>
        <w:rPr>
          <w:rFonts w:hint="eastAsia"/>
          <w:b/>
          <w:bCs/>
          <w:sz w:val="22"/>
          <w:szCs w:val="22"/>
          <w:lang w:val="en-US" w:eastAsia="zh-CN"/>
        </w:rPr>
        <w:t>Proposal 2: The positioning procedure for NTN can be:</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b/>
          <w:bCs/>
          <w:sz w:val="22"/>
          <w:szCs w:val="22"/>
          <w:lang w:val="en-US" w:eastAsia="zh-CN"/>
        </w:rPr>
      </w:pPr>
      <w:r>
        <w:rPr>
          <w:rFonts w:hint="default"/>
          <w:b/>
          <w:bCs/>
          <w:sz w:val="22"/>
          <w:szCs w:val="22"/>
          <w:lang w:val="en-US" w:eastAsia="zh-CN"/>
        </w:rPr>
        <w:drawing>
          <wp:inline distT="0" distB="0" distL="114300" distR="114300">
            <wp:extent cx="4010025" cy="3648075"/>
            <wp:effectExtent l="0" t="0" r="13335" b="9525"/>
            <wp:docPr id="6" name="图片 6" descr="signa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signaling"/>
                    <pic:cNvPicPr>
                      <a:picLocks noChangeAspect="1"/>
                    </pic:cNvPicPr>
                  </pic:nvPicPr>
                  <pic:blipFill>
                    <a:blip r:embed="rId9"/>
                    <a:stretch>
                      <a:fillRect/>
                    </a:stretch>
                  </pic:blipFill>
                  <pic:spPr>
                    <a:xfrm>
                      <a:off x="0" y="0"/>
                      <a:ext cx="4010025" cy="3648075"/>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default"/>
          <w:b/>
          <w:bCs/>
          <w:sz w:val="22"/>
          <w:szCs w:val="22"/>
          <w:lang w:val="en-US" w:eastAsia="zh-CN"/>
        </w:rPr>
      </w:pPr>
      <w:r>
        <w:rPr>
          <w:rFonts w:hint="eastAsia"/>
          <w:b/>
          <w:bCs/>
          <w:i/>
          <w:iCs/>
          <w:sz w:val="22"/>
          <w:szCs w:val="22"/>
          <w:lang w:val="en-US" w:eastAsia="zh-CN"/>
        </w:rPr>
        <w:t>Step 1</w:t>
      </w:r>
      <w:r>
        <w:rPr>
          <w:rFonts w:hint="eastAsia"/>
          <w:b/>
          <w:bCs/>
          <w:sz w:val="22"/>
          <w:szCs w:val="22"/>
          <w:lang w:val="en-US" w:eastAsia="zh-CN"/>
        </w:rPr>
        <w:t>: LMF requests satellite ephermeris information from a single satellite.</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default"/>
          <w:b/>
          <w:bCs/>
          <w:sz w:val="22"/>
          <w:szCs w:val="22"/>
          <w:lang w:val="en-US" w:eastAsia="zh-CN"/>
        </w:rPr>
      </w:pPr>
      <w:r>
        <w:rPr>
          <w:rFonts w:hint="eastAsia"/>
          <w:b/>
          <w:bCs/>
          <w:i/>
          <w:iCs/>
          <w:sz w:val="22"/>
          <w:szCs w:val="22"/>
          <w:lang w:val="en-US" w:eastAsia="zh-CN"/>
        </w:rPr>
        <w:t>Step 2:</w:t>
      </w:r>
      <w:r>
        <w:rPr>
          <w:rFonts w:hint="eastAsia"/>
          <w:b/>
          <w:bCs/>
          <w:sz w:val="22"/>
          <w:szCs w:val="22"/>
          <w:lang w:val="en-US" w:eastAsia="zh-CN"/>
        </w:rPr>
        <w:t xml:space="preserve"> The Satellite informs the LMF of the satellite ephermeris information.</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default"/>
          <w:b/>
          <w:bCs/>
          <w:sz w:val="22"/>
          <w:szCs w:val="22"/>
          <w:lang w:val="en-US" w:eastAsia="zh-CN"/>
        </w:rPr>
      </w:pPr>
      <w:r>
        <w:rPr>
          <w:rFonts w:hint="eastAsia"/>
          <w:b/>
          <w:bCs/>
          <w:i/>
          <w:iCs/>
          <w:sz w:val="22"/>
          <w:szCs w:val="22"/>
          <w:lang w:val="en-US" w:eastAsia="zh-CN"/>
        </w:rPr>
        <w:t>Step 3</w:t>
      </w:r>
      <w:r>
        <w:rPr>
          <w:rFonts w:hint="eastAsia"/>
          <w:b/>
          <w:bCs/>
          <w:sz w:val="22"/>
          <w:szCs w:val="22"/>
          <w:lang w:val="en-US" w:eastAsia="zh-CN"/>
        </w:rPr>
        <w:t xml:space="preserve">: LMF provides assistance data to UE. The assistance data here refers to all the auxiliary information </w:t>
      </w:r>
      <w:r>
        <w:rPr>
          <w:rFonts w:hint="eastAsia"/>
          <w:b/>
          <w:bCs/>
          <w:sz w:val="22"/>
          <w:szCs w:val="22"/>
          <w:lang w:val="en-US" w:eastAsia="zh-CN"/>
        </w:rPr>
        <w:tab/>
      </w:r>
      <w:r>
        <w:rPr>
          <w:rFonts w:hint="eastAsia"/>
          <w:b/>
          <w:bCs/>
          <w:sz w:val="22"/>
          <w:szCs w:val="22"/>
          <w:lang w:val="en-US" w:eastAsia="zh-CN"/>
        </w:rPr>
        <w:tab/>
      </w:r>
      <w:r>
        <w:rPr>
          <w:rFonts w:hint="eastAsia"/>
          <w:b/>
          <w:bCs/>
          <w:sz w:val="22"/>
          <w:szCs w:val="22"/>
          <w:lang w:val="en-US" w:eastAsia="zh-CN"/>
        </w:rPr>
        <w:t xml:space="preserve">required by UE to measure DL-PRS and calculate the position during the positioning process, which is </w:t>
      </w:r>
      <w:r>
        <w:rPr>
          <w:rFonts w:hint="eastAsia"/>
          <w:b/>
          <w:bCs/>
          <w:sz w:val="22"/>
          <w:szCs w:val="22"/>
          <w:lang w:val="en-US" w:eastAsia="zh-CN"/>
        </w:rPr>
        <w:tab/>
      </w:r>
      <w:r>
        <w:rPr>
          <w:rFonts w:hint="eastAsia"/>
          <w:b/>
          <w:bCs/>
          <w:sz w:val="22"/>
          <w:szCs w:val="22"/>
          <w:lang w:val="en-US" w:eastAsia="zh-CN"/>
        </w:rPr>
        <w:tab/>
      </w:r>
      <w:r>
        <w:rPr>
          <w:rFonts w:hint="eastAsia"/>
          <w:b/>
          <w:bCs/>
          <w:sz w:val="22"/>
          <w:szCs w:val="22"/>
          <w:lang w:val="en-US" w:eastAsia="zh-CN"/>
        </w:rPr>
        <w:t>called assistance data.</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default"/>
          <w:b/>
          <w:bCs/>
          <w:sz w:val="22"/>
          <w:szCs w:val="22"/>
          <w:lang w:val="en-US" w:eastAsia="zh-CN"/>
        </w:rPr>
      </w:pPr>
      <w:r>
        <w:rPr>
          <w:rFonts w:hint="eastAsia"/>
          <w:b/>
          <w:bCs/>
          <w:i/>
          <w:iCs/>
          <w:sz w:val="22"/>
          <w:szCs w:val="22"/>
          <w:lang w:val="en-US" w:eastAsia="zh-CN"/>
        </w:rPr>
        <w:t>Step 4</w:t>
      </w:r>
      <w:r>
        <w:rPr>
          <w:rFonts w:hint="eastAsia"/>
          <w:b/>
          <w:bCs/>
          <w:sz w:val="22"/>
          <w:szCs w:val="22"/>
          <w:lang w:val="en-US" w:eastAsia="zh-CN"/>
        </w:rPr>
        <w:t xml:space="preserve">: LMF sends location information requests to UE, and the requested information can be the Rx-Tx </w:t>
      </w:r>
      <w:r>
        <w:rPr>
          <w:rFonts w:hint="eastAsia"/>
          <w:b/>
          <w:bCs/>
          <w:sz w:val="22"/>
          <w:szCs w:val="22"/>
          <w:lang w:val="en-US" w:eastAsia="zh-CN"/>
        </w:rPr>
        <w:tab/>
      </w:r>
      <w:r>
        <w:rPr>
          <w:rFonts w:hint="eastAsia"/>
          <w:b/>
          <w:bCs/>
          <w:sz w:val="22"/>
          <w:szCs w:val="22"/>
          <w:lang w:val="en-US" w:eastAsia="zh-CN"/>
        </w:rPr>
        <w:tab/>
      </w:r>
      <w:r>
        <w:rPr>
          <w:rFonts w:hint="eastAsia"/>
          <w:b/>
          <w:bCs/>
          <w:sz w:val="22"/>
          <w:szCs w:val="22"/>
          <w:lang w:val="en-US" w:eastAsia="zh-CN"/>
        </w:rPr>
        <w:tab/>
      </w:r>
      <w:r>
        <w:rPr>
          <w:rFonts w:hint="eastAsia"/>
          <w:b/>
          <w:bCs/>
          <w:sz w:val="22"/>
          <w:szCs w:val="22"/>
          <w:lang w:val="en-US" w:eastAsia="zh-CN"/>
        </w:rPr>
        <w:t>time difference.</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default"/>
          <w:b/>
          <w:bCs/>
          <w:sz w:val="22"/>
          <w:szCs w:val="22"/>
          <w:lang w:val="en-US" w:eastAsia="zh-CN"/>
        </w:rPr>
      </w:pPr>
      <w:r>
        <w:rPr>
          <w:rFonts w:hint="eastAsia"/>
          <w:b/>
          <w:bCs/>
          <w:i/>
          <w:iCs/>
          <w:sz w:val="22"/>
          <w:szCs w:val="22"/>
          <w:lang w:val="en-US" w:eastAsia="zh-CN"/>
        </w:rPr>
        <w:t>Step 5</w:t>
      </w:r>
      <w:r>
        <w:rPr>
          <w:rFonts w:hint="eastAsia"/>
          <w:b/>
          <w:bCs/>
          <w:sz w:val="22"/>
          <w:szCs w:val="22"/>
          <w:lang w:val="en-US" w:eastAsia="zh-CN"/>
        </w:rPr>
        <w:t>: UE measures DL-PRS.</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eastAsia"/>
          <w:sz w:val="22"/>
          <w:szCs w:val="22"/>
          <w:lang w:val="en-US" w:eastAsia="zh-CN"/>
        </w:rPr>
      </w:pPr>
      <w:r>
        <w:rPr>
          <w:rFonts w:hint="eastAsia"/>
          <w:b/>
          <w:bCs/>
          <w:i/>
          <w:iCs/>
          <w:sz w:val="22"/>
          <w:szCs w:val="22"/>
          <w:lang w:val="en-US" w:eastAsia="zh-CN"/>
        </w:rPr>
        <w:t>Step 6</w:t>
      </w:r>
      <w:r>
        <w:rPr>
          <w:rFonts w:hint="eastAsia"/>
          <w:b/>
          <w:bCs/>
          <w:sz w:val="22"/>
          <w:szCs w:val="22"/>
          <w:lang w:val="en-US" w:eastAsia="zh-CN"/>
        </w:rPr>
        <w:t>: UE provides the location information to LMF</w:t>
      </w:r>
      <w:r>
        <w:rPr>
          <w:rFonts w:hint="eastAsia"/>
          <w:sz w:val="22"/>
          <w:szCs w:val="22"/>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default"/>
          <w:sz w:val="22"/>
          <w:szCs w:val="22"/>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0" w:afterLines="100" w:line="360" w:lineRule="auto"/>
        <w:ind w:leftChars="0"/>
        <w:jc w:val="both"/>
        <w:textAlignment w:val="auto"/>
        <w:rPr>
          <w:rFonts w:hint="default"/>
          <w:b/>
          <w:bCs/>
          <w:sz w:val="22"/>
          <w:szCs w:val="22"/>
          <w:lang w:val="en-US" w:eastAsia="zh-CN"/>
        </w:rPr>
      </w:pPr>
      <w:r>
        <w:rPr>
          <w:rFonts w:hint="eastAsia"/>
          <w:b/>
          <w:bCs/>
          <w:sz w:val="22"/>
          <w:szCs w:val="22"/>
          <w:lang w:val="en-US" w:eastAsia="zh-CN"/>
        </w:rPr>
        <w:t>Proposal 3: RAN4 to define measurement period and accuracy requirements for UE Rx-Tx measurement which the existing TN measurements requirements can be as the baseline.</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eastAsia"/>
          <w:sz w:val="22"/>
          <w:szCs w:val="22"/>
          <w:lang w:val="en-US" w:eastAsia="zh-CN"/>
        </w:rPr>
      </w:pPr>
      <w:r>
        <w:rPr>
          <w:rFonts w:hint="eastAsia"/>
          <w:sz w:val="22"/>
          <w:szCs w:val="22"/>
          <w:lang w:val="en-US" w:eastAsia="zh-CN"/>
        </w:rPr>
        <w:t>In the last meeting, several companies proposed that the reporting range for UE Rx-Tx measurement shall be updated based on the existing values: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keepLines/>
              <w:spacing w:after="120"/>
            </w:pPr>
            <w:r>
              <w:t>The reporting range for the absolute UE Rx-Tx time difference measurement (</w:t>
            </w:r>
            <w:r>
              <w:rPr>
                <w:rFonts w:cs="Arial"/>
                <w:lang w:eastAsia="zh-CN"/>
              </w:rPr>
              <w:t>T</w:t>
            </w:r>
            <w:r>
              <w:rPr>
                <w:rFonts w:cs="Arial"/>
                <w:vertAlign w:val="subscript"/>
                <w:lang w:eastAsia="zh-CN"/>
              </w:rPr>
              <w:t>UE Rx-Tx</w:t>
            </w:r>
            <w:r>
              <w:t xml:space="preserve">) is defined from </w:t>
            </w:r>
            <w:r>
              <w:rPr>
                <w:lang w:eastAsia="zh-CN"/>
              </w:rPr>
              <w:t>-985024</w:t>
            </w:r>
            <w:r>
              <w:rPr>
                <w:rFonts w:ascii="Symbol" w:hAnsi="Symbol" w:eastAsia="Symbol" w:cs="Symbol"/>
              </w:rPr>
              <w:t></w:t>
            </w:r>
            <w:r>
              <w:t>T</w:t>
            </w:r>
            <w:r>
              <w:rPr>
                <w:vertAlign w:val="subscript"/>
              </w:rPr>
              <w:t>c</w:t>
            </w:r>
            <w:r>
              <w:t xml:space="preserve"> to </w:t>
            </w:r>
            <w:r>
              <w:rPr>
                <w:lang w:eastAsia="zh-CN"/>
              </w:rPr>
              <w:t>985024</w:t>
            </w:r>
            <w:r>
              <w:rPr>
                <w:rFonts w:ascii="Symbol" w:hAnsi="Symbol" w:eastAsia="Symbol" w:cs="Symbol"/>
              </w:rPr>
              <w:t></w:t>
            </w:r>
            <w:r>
              <w:t>T</w:t>
            </w:r>
            <w:r>
              <w:rPr>
                <w:vertAlign w:val="subscript"/>
              </w:rPr>
              <w:t>c</w:t>
            </w:r>
            <w:r>
              <w:t xml:space="preserve"> with the resolution step of 2</w:t>
            </w:r>
            <w:r>
              <w:rPr>
                <w:i/>
                <w:iCs/>
                <w:vertAlign w:val="superscript"/>
                <w:lang w:eastAsia="zh-CN"/>
              </w:rPr>
              <w:t>k</w:t>
            </w:r>
            <w:r>
              <w:rPr>
                <w:rFonts w:ascii="Symbol" w:hAnsi="Symbol" w:eastAsia="Symbol" w:cs="Symbol"/>
              </w:rPr>
              <w:t></w:t>
            </w:r>
            <w:r>
              <w:t>T</w:t>
            </w:r>
            <w:r>
              <w:rPr>
                <w:vertAlign w:val="subscript"/>
              </w:rPr>
              <w:t>c</w:t>
            </w:r>
            <w:r>
              <w:t xml:space="preserve">, where: </w:t>
            </w:r>
          </w:p>
          <w:p>
            <w:pPr>
              <w:pStyle w:val="49"/>
            </w:pPr>
            <w:r>
              <w:t>T</w:t>
            </w:r>
            <w:r>
              <w:rPr>
                <w:vertAlign w:val="subscript"/>
              </w:rPr>
              <w:t>c</w:t>
            </w:r>
            <w:r>
              <w:t xml:space="preserve"> is defined in TS 38.211 [6], </w:t>
            </w:r>
          </w:p>
          <w:p>
            <w:pPr>
              <w:pStyle w:val="49"/>
            </w:pPr>
            <w:r>
              <w:rPr>
                <w:i/>
                <w:iCs/>
                <w:lang w:eastAsia="ja-JP"/>
              </w:rPr>
              <w:t>k</w:t>
            </w:r>
            <w:r>
              <w:rPr>
                <w:i/>
                <w:iCs/>
                <w:vertAlign w:val="subscript"/>
                <w:lang w:eastAsia="ja-JP"/>
              </w:rPr>
              <w:t>min</w:t>
            </w:r>
            <w:r>
              <w:rPr>
                <w:lang w:eastAsia="ja-JP"/>
              </w:rPr>
              <w:t>≤</w:t>
            </w:r>
            <w:r>
              <w:rPr>
                <w:i/>
                <w:iCs/>
              </w:rPr>
              <w:t>k</w:t>
            </w:r>
            <w:r>
              <w:rPr>
                <w:lang w:eastAsia="ja-JP"/>
              </w:rPr>
              <w:t>≤</w:t>
            </w:r>
            <w:r>
              <w:rPr>
                <w:i/>
                <w:iCs/>
                <w:lang w:eastAsia="ja-JP"/>
              </w:rPr>
              <w:t>k</w:t>
            </w:r>
            <w:r>
              <w:rPr>
                <w:i/>
                <w:iCs/>
                <w:vertAlign w:val="subscript"/>
                <w:lang w:eastAsia="ja-JP"/>
              </w:rPr>
              <w:t>max</w:t>
            </w:r>
            <w:r>
              <w:t xml:space="preserve">, </w:t>
            </w:r>
          </w:p>
          <w:p>
            <w:pPr>
              <w:pStyle w:val="49"/>
            </w:pPr>
            <w:r>
              <w:rPr>
                <w:i/>
                <w:iCs/>
                <w:lang w:eastAsia="ja-JP"/>
              </w:rPr>
              <w:t>k</w:t>
            </w:r>
            <w:r>
              <w:rPr>
                <w:i/>
                <w:iCs/>
                <w:vertAlign w:val="subscript"/>
                <w:lang w:eastAsia="ja-JP"/>
              </w:rPr>
              <w:t>min</w:t>
            </w:r>
            <w:r>
              <w:rPr>
                <w:lang w:eastAsia="ja-JP"/>
              </w:rPr>
              <w:t xml:space="preserve">=[2] and </w:t>
            </w:r>
            <w:r>
              <w:rPr>
                <w:i/>
                <w:iCs/>
                <w:lang w:eastAsia="ja-JP"/>
              </w:rPr>
              <w:t>k</w:t>
            </w:r>
            <w:r>
              <w:rPr>
                <w:i/>
                <w:iCs/>
                <w:vertAlign w:val="subscript"/>
                <w:lang w:eastAsia="ja-JP"/>
              </w:rPr>
              <w:t>max</w:t>
            </w:r>
            <w:r>
              <w:rPr>
                <w:lang w:eastAsia="ja-JP"/>
              </w:rPr>
              <w:t xml:space="preserve">=5, when at least one of the PRS and the SRS resources configured for </w:t>
            </w:r>
            <w:r>
              <w:rPr>
                <w:rFonts w:cs="Arial"/>
                <w:lang w:eastAsia="zh-CN"/>
              </w:rPr>
              <w:t>T</w:t>
            </w:r>
            <w:r>
              <w:rPr>
                <w:rFonts w:cs="Arial"/>
                <w:vertAlign w:val="subscript"/>
                <w:lang w:eastAsia="zh-CN"/>
              </w:rPr>
              <w:t>UE Rx-Tx</w:t>
            </w:r>
            <w:r>
              <w:rPr>
                <w:lang w:eastAsia="ja-JP"/>
              </w:rPr>
              <w:t xml:space="preserve"> is in FR1,</w:t>
            </w:r>
          </w:p>
          <w:p>
            <w:pPr>
              <w:pStyle w:val="49"/>
            </w:pPr>
            <w:r>
              <w:rPr>
                <w:i/>
                <w:iCs/>
                <w:lang w:eastAsia="ja-JP"/>
              </w:rPr>
              <w:t>k</w:t>
            </w:r>
            <w:r>
              <w:rPr>
                <w:i/>
                <w:iCs/>
                <w:vertAlign w:val="subscript"/>
                <w:lang w:eastAsia="ja-JP"/>
              </w:rPr>
              <w:t>min</w:t>
            </w:r>
            <w:r>
              <w:rPr>
                <w:lang w:eastAsia="ja-JP"/>
              </w:rPr>
              <w:t xml:space="preserve">=0 and </w:t>
            </w:r>
            <w:r>
              <w:rPr>
                <w:i/>
                <w:iCs/>
                <w:lang w:eastAsia="ja-JP"/>
              </w:rPr>
              <w:t>k</w:t>
            </w:r>
            <w:r>
              <w:rPr>
                <w:i/>
                <w:iCs/>
                <w:vertAlign w:val="subscript"/>
                <w:lang w:eastAsia="ja-JP"/>
              </w:rPr>
              <w:t>max</w:t>
            </w:r>
            <w:r>
              <w:rPr>
                <w:lang w:eastAsia="ja-JP"/>
              </w:rPr>
              <w:t xml:space="preserve">=5, when both PRS and SRS resources configured for </w:t>
            </w:r>
            <w:r>
              <w:rPr>
                <w:rFonts w:cs="Arial"/>
                <w:lang w:eastAsia="zh-CN"/>
              </w:rPr>
              <w:t>T</w:t>
            </w:r>
            <w:r>
              <w:rPr>
                <w:rFonts w:cs="Arial"/>
                <w:vertAlign w:val="subscript"/>
                <w:lang w:eastAsia="zh-CN"/>
              </w:rPr>
              <w:t>UE Rx-Tx</w:t>
            </w:r>
            <w:r>
              <w:rPr>
                <w:lang w:eastAsia="ja-JP"/>
              </w:rPr>
              <w:t xml:space="preserve"> are in FR2,</w:t>
            </w:r>
          </w:p>
          <w:p>
            <w:pPr>
              <w:pStyle w:val="49"/>
            </w:pPr>
            <w:r>
              <w:rPr>
                <w:i/>
                <w:iCs/>
                <w:lang w:eastAsia="ja-JP"/>
              </w:rPr>
              <w:t>k≥</w:t>
            </w:r>
            <w:r>
              <w:rPr>
                <w:lang w:eastAsia="ja-JP"/>
              </w:rPr>
              <w:t xml:space="preserve"> </w:t>
            </w:r>
            <w:r>
              <w:rPr>
                <w:i/>
                <w:iCs/>
                <w:snapToGrid w:val="0"/>
              </w:rPr>
              <w:t xml:space="preserve">timingReportingGranularityFactor </w:t>
            </w:r>
            <w:r>
              <w:rPr>
                <w:snapToGrid w:val="0"/>
              </w:rPr>
              <w:t xml:space="preserve">[34] configured by LMF via LPP for the </w:t>
            </w:r>
            <w:r>
              <w:t>UE Rx-Tx time difference</w:t>
            </w:r>
            <w:r>
              <w:rPr>
                <w:snapToGrid w:val="0"/>
              </w:rPr>
              <w:t xml:space="preserve"> measurement.</w:t>
            </w:r>
          </w:p>
          <w:p>
            <w:pPr>
              <w:keepNext/>
              <w:keepLines/>
              <w:spacing w:after="120"/>
              <w:rPr>
                <w:lang w:val="en-US" w:eastAsia="ja-JP"/>
              </w:rPr>
            </w:pPr>
            <w:r>
              <w:rPr>
                <w:lang w:val="en-US" w:eastAsia="ja-JP"/>
              </w:rPr>
              <w:t xml:space="preserve">The </w:t>
            </w:r>
            <w:r>
              <w:rPr>
                <w:rFonts w:cs="Arial"/>
                <w:lang w:eastAsia="zh-CN"/>
              </w:rPr>
              <w:t>T</w:t>
            </w:r>
            <w:r>
              <w:rPr>
                <w:rFonts w:cs="Arial"/>
                <w:vertAlign w:val="subscript"/>
                <w:lang w:eastAsia="zh-CN"/>
              </w:rPr>
              <w:t>UE Rx-Tx</w:t>
            </w:r>
            <w:r>
              <w:rPr>
                <w:lang w:val="en-US" w:eastAsia="ja-JP"/>
              </w:rPr>
              <w:t xml:space="preserve"> report mapping for </w:t>
            </w:r>
            <w:r>
              <w:rPr>
                <w:i/>
                <w:iCs/>
                <w:lang w:val="en-US" w:eastAsia="ja-JP"/>
              </w:rPr>
              <w:t>k</w:t>
            </w:r>
            <w:r>
              <w:rPr>
                <w:lang w:val="en-US" w:eastAsia="ja-JP"/>
              </w:rPr>
              <w:t xml:space="preserve"> = 0, 1, 2, 3, 4, and 5 are specified in Tables 10.1.25.3.1-1, 10.1.25.3.1-2, 10.1.25.3.1-3, 10.1.25.3.1-4, 10.1.25.3.1-5, and 10.1.25.3.1-6, respectively.</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jc w:val="both"/>
              <w:textAlignment w:val="auto"/>
              <w:rPr>
                <w:rFonts w:hint="default"/>
                <w:sz w:val="22"/>
                <w:szCs w:val="22"/>
                <w:vertAlign w:val="baseline"/>
                <w:lang w:val="en-US" w:eastAsia="zh-CN"/>
              </w:rPr>
            </w:pPr>
          </w:p>
        </w:tc>
      </w:tr>
    </w:tbl>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eastAsia"/>
          <w:sz w:val="22"/>
          <w:szCs w:val="22"/>
          <w:lang w:val="en-US" w:eastAsia="zh-CN"/>
        </w:rPr>
      </w:pPr>
      <w:r>
        <w:rPr>
          <w:rFonts w:hint="eastAsia"/>
          <w:sz w:val="22"/>
          <w:szCs w:val="22"/>
          <w:lang w:val="en-US" w:eastAsia="zh-CN"/>
        </w:rPr>
        <w:t>The current reporting range is -985024*Tc to985024*Tc,</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eastAsia"/>
          <w:sz w:val="22"/>
          <w:szCs w:val="22"/>
          <w:lang w:val="en-US" w:eastAsia="zh-CN"/>
        </w:rPr>
      </w:pPr>
      <w:r>
        <w:rPr>
          <w:rFonts w:hint="eastAsia"/>
          <w:sz w:val="22"/>
          <w:szCs w:val="22"/>
          <w:lang w:val="en-US" w:eastAsia="zh-CN"/>
        </w:rPr>
        <w:t>Where,</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eastAsia"/>
          <w:sz w:val="22"/>
          <w:szCs w:val="22"/>
          <w:lang w:val="en-US" w:eastAsia="zh-CN"/>
        </w:rPr>
      </w:pPr>
      <w:r>
        <w:rPr>
          <w:rFonts w:hint="eastAsia"/>
          <w:sz w:val="22"/>
          <w:szCs w:val="22"/>
          <w:lang w:val="en-US" w:eastAsia="zh-CN"/>
        </w:rPr>
        <w:t xml:space="preserve">Time units </w:t>
      </w:r>
      <w:r>
        <w:rPr>
          <w:rFonts w:hint="eastAsia"/>
          <w:sz w:val="22"/>
          <w:szCs w:val="22"/>
          <w:lang w:val="en-US" w:eastAsia="zh-CN"/>
        </w:rPr>
        <w:object>
          <v:shape id="_x0000_i1025" o:spt="75" type="#_x0000_t75" style="height:15.75pt;width:78.7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rPr>
          <w:rFonts w:hint="eastAsia"/>
          <w:sz w:val="22"/>
          <w:szCs w:val="22"/>
          <w:lang w:val="en-US" w:eastAsia="zh-CN"/>
        </w:rPr>
        <w:t xml:space="preserve"> where </w:t>
      </w:r>
      <m:oMath>
        <m:r>
          <m:rPr>
            <m:sty m:val="p"/>
          </m:rPr>
          <w:rPr>
            <w:rFonts w:hint="eastAsia" w:ascii="Cambria Math" w:hAnsi="Cambria Math"/>
            <w:sz w:val="22"/>
            <w:szCs w:val="22"/>
            <w:lang w:val="en-US" w:eastAsia="zh-CN"/>
          </w:rPr>
          <m:t>Δ</m:t>
        </m:r>
        <m:sSub>
          <m:sSubPr>
            <m:ctrlPr>
              <w:rPr>
                <w:rFonts w:hint="eastAsia" w:ascii="Cambria Math" w:hAnsi="Cambria Math"/>
                <w:sz w:val="22"/>
                <w:szCs w:val="22"/>
                <w:lang w:val="en-US" w:eastAsia="zh-CN"/>
              </w:rPr>
            </m:ctrlPr>
          </m:sSubPr>
          <m:e>
            <m:r>
              <m:rPr>
                <m:sty m:val="p"/>
              </m:rPr>
              <w:rPr>
                <w:rFonts w:hint="eastAsia" w:ascii="Cambria Math" w:hAnsi="Cambria Math"/>
                <w:sz w:val="22"/>
                <w:szCs w:val="22"/>
                <w:lang w:val="en-US" w:eastAsia="zh-CN"/>
              </w:rPr>
              <m:t>f</m:t>
            </m:r>
            <m:ctrlPr>
              <w:rPr>
                <w:rFonts w:hint="eastAsia" w:ascii="Cambria Math" w:hAnsi="Cambria Math"/>
                <w:sz w:val="22"/>
                <w:szCs w:val="22"/>
                <w:lang w:val="en-US" w:eastAsia="zh-CN"/>
              </w:rPr>
            </m:ctrlPr>
          </m:e>
          <m:sub>
            <m:r>
              <m:rPr>
                <m:nor/>
                <m:sty m:val="p"/>
              </m:rPr>
              <w:rPr>
                <w:rFonts w:hint="eastAsia" w:ascii="Cambria Math" w:hAnsi="Cambria Math"/>
                <w:b w:val="0"/>
                <w:i w:val="0"/>
                <w:sz w:val="22"/>
                <w:szCs w:val="22"/>
                <w:lang w:val="en-US" w:eastAsia="zh-CN"/>
              </w:rPr>
              <m:t>max</m:t>
            </m:r>
            <m:ctrlPr>
              <w:rPr>
                <w:rFonts w:hint="eastAsia" w:ascii="Cambria Math" w:hAnsi="Cambria Math"/>
                <w:sz w:val="22"/>
                <w:szCs w:val="22"/>
                <w:lang w:val="en-US" w:eastAsia="zh-CN"/>
              </w:rPr>
            </m:ctrlPr>
          </m:sub>
        </m:sSub>
        <m:r>
          <m:rPr>
            <m:sty m:val="p"/>
          </m:rPr>
          <w:rPr>
            <w:rFonts w:hint="eastAsia" w:ascii="Cambria Math" w:hAnsi="Cambria Math"/>
            <w:sz w:val="22"/>
            <w:szCs w:val="22"/>
            <w:lang w:val="en-US" w:eastAsia="zh-CN"/>
          </w:rPr>
          <m:t>=480∙</m:t>
        </m:r>
        <m:sSup>
          <m:sSupPr>
            <m:ctrlPr>
              <w:rPr>
                <w:rFonts w:hint="eastAsia" w:ascii="Cambria Math" w:hAnsi="Cambria Math"/>
                <w:sz w:val="22"/>
                <w:szCs w:val="22"/>
                <w:lang w:val="en-US" w:eastAsia="zh-CN"/>
              </w:rPr>
            </m:ctrlPr>
          </m:sSupPr>
          <m:e>
            <m:r>
              <m:rPr>
                <m:sty m:val="p"/>
              </m:rPr>
              <w:rPr>
                <w:rFonts w:hint="eastAsia" w:ascii="Cambria Math" w:hAnsi="Cambria Math"/>
                <w:sz w:val="22"/>
                <w:szCs w:val="22"/>
                <w:lang w:val="en-US" w:eastAsia="zh-CN"/>
              </w:rPr>
              <m:t>10</m:t>
            </m:r>
            <m:ctrlPr>
              <w:rPr>
                <w:rFonts w:hint="eastAsia" w:ascii="Cambria Math" w:hAnsi="Cambria Math"/>
                <w:sz w:val="22"/>
                <w:szCs w:val="22"/>
                <w:lang w:val="en-US" w:eastAsia="zh-CN"/>
              </w:rPr>
            </m:ctrlPr>
          </m:e>
          <m:sup>
            <m:r>
              <m:rPr>
                <m:sty m:val="p"/>
              </m:rPr>
              <w:rPr>
                <w:rFonts w:hint="eastAsia" w:ascii="Cambria Math" w:hAnsi="Cambria Math"/>
                <w:sz w:val="22"/>
                <w:szCs w:val="22"/>
                <w:lang w:val="en-US" w:eastAsia="zh-CN"/>
              </w:rPr>
              <m:t>3</m:t>
            </m:r>
            <m:ctrlPr>
              <w:rPr>
                <w:rFonts w:hint="eastAsia" w:ascii="Cambria Math" w:hAnsi="Cambria Math"/>
                <w:sz w:val="22"/>
                <w:szCs w:val="22"/>
                <w:lang w:val="en-US" w:eastAsia="zh-CN"/>
              </w:rPr>
            </m:ctrlPr>
          </m:sup>
        </m:sSup>
      </m:oMath>
      <w:r>
        <w:rPr>
          <w:rFonts w:hint="eastAsia"/>
          <w:sz w:val="22"/>
          <w:szCs w:val="22"/>
          <w:lang w:val="en-US" w:eastAsia="zh-CN"/>
        </w:rPr>
        <w:t xml:space="preserve"> Hz and </w:t>
      </w:r>
      <w:r>
        <w:rPr>
          <w:rFonts w:hint="eastAsia"/>
          <w:sz w:val="22"/>
          <w:szCs w:val="22"/>
          <w:lang w:val="en-US" w:eastAsia="zh-CN"/>
        </w:rPr>
        <w:object>
          <v:shape id="_x0000_i1026" o:spt="75" type="#_x0000_t75" style="height:15.75pt;width:45.75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r>
        <w:rPr>
          <w:rFonts w:hint="eastAsia"/>
          <w:sz w:val="22"/>
          <w:szCs w:val="22"/>
          <w:lang w:val="en-US" w:eastAsia="zh-CN"/>
        </w:rPr>
        <w:t>, Tc=5.08*10^(-4) us.</w:t>
      </w:r>
    </w:p>
    <w:p>
      <w:pPr>
        <w:keepNext w:val="0"/>
        <w:keepLines w:val="0"/>
        <w:pageBreakBefore w:val="0"/>
        <w:widowControl/>
        <w:numPr>
          <w:ilvl w:val="0"/>
          <w:numId w:val="0"/>
        </w:numPr>
        <w:kinsoku/>
        <w:wordWrap/>
        <w:overflowPunct/>
        <w:topLinePunct w:val="0"/>
        <w:autoSpaceDE/>
        <w:autoSpaceDN/>
        <w:bidi w:val="0"/>
        <w:adjustRightInd/>
        <w:snapToGrid/>
        <w:spacing w:after="0" w:afterLines="100" w:line="360" w:lineRule="auto"/>
        <w:ind w:leftChars="0"/>
        <w:jc w:val="both"/>
        <w:textAlignment w:val="auto"/>
        <w:rPr>
          <w:rFonts w:hint="eastAsia"/>
          <w:sz w:val="22"/>
          <w:szCs w:val="22"/>
          <w:lang w:val="en-US" w:eastAsia="zh-CN"/>
        </w:rPr>
      </w:pPr>
      <w:r>
        <w:rPr>
          <w:rFonts w:hint="eastAsia"/>
          <w:sz w:val="22"/>
          <w:szCs w:val="22"/>
          <w:lang w:val="en-US" w:eastAsia="zh-CN"/>
        </w:rPr>
        <w:t>So the reporting range is -0.5ms- +0.5ms, this is range is enough for TN positioning but may be not proper for NTN scenario since the distance is too large between UE and the single satellite. RAN4 shall consider to study and update or define the new report range for NTN positioning.</w:t>
      </w:r>
    </w:p>
    <w:p>
      <w:pPr>
        <w:keepNext w:val="0"/>
        <w:keepLines w:val="0"/>
        <w:pageBreakBefore w:val="0"/>
        <w:widowControl/>
        <w:numPr>
          <w:ilvl w:val="0"/>
          <w:numId w:val="0"/>
        </w:numPr>
        <w:kinsoku/>
        <w:wordWrap/>
        <w:overflowPunct/>
        <w:topLinePunct w:val="0"/>
        <w:autoSpaceDE/>
        <w:autoSpaceDN/>
        <w:bidi w:val="0"/>
        <w:adjustRightInd/>
        <w:snapToGrid/>
        <w:spacing w:after="0" w:afterLines="100" w:line="360" w:lineRule="auto"/>
        <w:ind w:leftChars="0"/>
        <w:jc w:val="both"/>
        <w:textAlignment w:val="auto"/>
        <w:rPr>
          <w:rFonts w:hint="eastAsia"/>
          <w:b/>
          <w:bCs/>
          <w:sz w:val="22"/>
          <w:szCs w:val="22"/>
          <w:lang w:val="en-US" w:eastAsia="zh-CN"/>
        </w:rPr>
      </w:pPr>
      <w:r>
        <w:rPr>
          <w:rFonts w:hint="eastAsia"/>
          <w:b/>
          <w:bCs/>
          <w:sz w:val="22"/>
          <w:szCs w:val="22"/>
          <w:lang w:val="en-US" w:eastAsia="zh-CN"/>
        </w:rPr>
        <w:t>Observation 1: The reporting range is -0.5ms-0.5ms, this is range is enough for TN positioning but may be not proper for NTN scenario since the distance is too large between UE and the single satellite.</w:t>
      </w:r>
    </w:p>
    <w:p>
      <w:pPr>
        <w:keepNext w:val="0"/>
        <w:keepLines w:val="0"/>
        <w:pageBreakBefore w:val="0"/>
        <w:widowControl/>
        <w:numPr>
          <w:ilvl w:val="0"/>
          <w:numId w:val="0"/>
        </w:numPr>
        <w:kinsoku/>
        <w:wordWrap/>
        <w:overflowPunct/>
        <w:topLinePunct w:val="0"/>
        <w:autoSpaceDE/>
        <w:autoSpaceDN/>
        <w:bidi w:val="0"/>
        <w:adjustRightInd/>
        <w:snapToGrid/>
        <w:spacing w:after="0" w:afterLines="100" w:line="360" w:lineRule="auto"/>
        <w:ind w:leftChars="0"/>
        <w:jc w:val="both"/>
        <w:textAlignment w:val="auto"/>
        <w:rPr>
          <w:rFonts w:hint="eastAsia"/>
          <w:b/>
          <w:bCs/>
          <w:sz w:val="22"/>
          <w:szCs w:val="22"/>
          <w:lang w:val="en-US" w:eastAsia="zh-CN"/>
        </w:rPr>
      </w:pPr>
      <w:r>
        <w:rPr>
          <w:rFonts w:hint="eastAsia"/>
          <w:b/>
          <w:bCs/>
          <w:sz w:val="22"/>
          <w:szCs w:val="22"/>
          <w:lang w:val="en-US" w:eastAsia="zh-CN"/>
        </w:rPr>
        <w:t>Proposal 4: RAN4 shall consider to study and update or define the new report range for NTN positioning.</w:t>
      </w:r>
    </w:p>
    <w:p>
      <w:pPr>
        <w:keepNext w:val="0"/>
        <w:keepLines w:val="0"/>
        <w:pageBreakBefore w:val="0"/>
        <w:widowControl/>
        <w:numPr>
          <w:ilvl w:val="0"/>
          <w:numId w:val="0"/>
        </w:numPr>
        <w:kinsoku/>
        <w:wordWrap/>
        <w:overflowPunct/>
        <w:topLinePunct w:val="0"/>
        <w:autoSpaceDE/>
        <w:autoSpaceDN/>
        <w:bidi w:val="0"/>
        <w:adjustRightInd/>
        <w:snapToGrid/>
        <w:spacing w:after="0" w:afterLines="100" w:line="360" w:lineRule="auto"/>
        <w:ind w:leftChars="0"/>
        <w:jc w:val="both"/>
        <w:textAlignment w:val="auto"/>
        <w:rPr>
          <w:rFonts w:hint="eastAsia"/>
          <w:b/>
          <w:bCs/>
          <w:sz w:val="22"/>
          <w:szCs w:val="22"/>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0" w:afterLines="100" w:line="360" w:lineRule="auto"/>
        <w:ind w:leftChars="0"/>
        <w:jc w:val="both"/>
        <w:textAlignment w:val="auto"/>
        <w:rPr>
          <w:rFonts w:hint="eastAsia"/>
          <w:b/>
          <w:bCs/>
          <w:sz w:val="22"/>
          <w:szCs w:val="22"/>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0" w:afterLines="100" w:line="360" w:lineRule="auto"/>
        <w:ind w:leftChars="0"/>
        <w:jc w:val="both"/>
        <w:textAlignment w:val="auto"/>
        <w:rPr>
          <w:rFonts w:hint="eastAsia"/>
          <w:b/>
          <w:bCs/>
          <w:sz w:val="22"/>
          <w:szCs w:val="22"/>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0" w:afterLines="100" w:line="360" w:lineRule="auto"/>
        <w:ind w:leftChars="0"/>
        <w:jc w:val="both"/>
        <w:textAlignment w:val="auto"/>
        <w:rPr>
          <w:rFonts w:hint="eastAsia"/>
          <w:b/>
          <w:bCs/>
          <w:sz w:val="22"/>
          <w:szCs w:val="22"/>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0" w:afterLines="100" w:line="360" w:lineRule="auto"/>
        <w:ind w:leftChars="0"/>
        <w:jc w:val="both"/>
        <w:textAlignment w:val="auto"/>
        <w:rPr>
          <w:rFonts w:hint="eastAsia"/>
          <w:b/>
          <w:bCs/>
          <w:sz w:val="22"/>
          <w:szCs w:val="22"/>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0" w:afterLines="100" w:line="360" w:lineRule="auto"/>
        <w:ind w:leftChars="0"/>
        <w:jc w:val="both"/>
        <w:textAlignment w:val="auto"/>
        <w:rPr>
          <w:rFonts w:hint="eastAsia"/>
          <w:b/>
          <w:bCs/>
          <w:sz w:val="22"/>
          <w:szCs w:val="22"/>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0" w:afterLines="100" w:line="360" w:lineRule="auto"/>
        <w:ind w:leftChars="0"/>
        <w:jc w:val="both"/>
        <w:textAlignment w:val="auto"/>
        <w:rPr>
          <w:rFonts w:hint="eastAsia"/>
          <w:b/>
          <w:bCs/>
          <w:sz w:val="22"/>
          <w:szCs w:val="22"/>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0" w:afterLines="100" w:line="360" w:lineRule="auto"/>
        <w:ind w:leftChars="0"/>
        <w:jc w:val="both"/>
        <w:textAlignment w:val="auto"/>
        <w:rPr>
          <w:rFonts w:hint="eastAsia"/>
          <w:b/>
          <w:bCs/>
          <w:sz w:val="22"/>
          <w:szCs w:val="22"/>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0" w:afterLines="100" w:line="360" w:lineRule="auto"/>
        <w:ind w:leftChars="0"/>
        <w:jc w:val="both"/>
        <w:textAlignment w:val="auto"/>
        <w:rPr>
          <w:rFonts w:hint="default"/>
          <w:b/>
          <w:bCs/>
          <w:sz w:val="22"/>
          <w:szCs w:val="22"/>
          <w:lang w:val="en-US" w:eastAsia="zh-CN"/>
        </w:rPr>
      </w:pPr>
    </w:p>
    <w:p>
      <w:pPr>
        <w:pStyle w:val="74"/>
        <w:rPr>
          <w:lang w:val="en-US"/>
        </w:rPr>
      </w:pPr>
      <w:r>
        <w:rPr>
          <w:lang w:val="en-US"/>
        </w:rPr>
        <w:t>Conclusion</w:t>
      </w:r>
    </w:p>
    <w:p>
      <w:pPr>
        <w:rPr>
          <w:lang w:val="en-GB"/>
        </w:rPr>
      </w:pPr>
      <w:r>
        <w:rPr>
          <w:lang w:val="en-GB"/>
        </w:rPr>
        <w:t xml:space="preserve">The following </w:t>
      </w:r>
      <w:r>
        <w:rPr>
          <w:rFonts w:hint="eastAsia" w:eastAsia="宋体"/>
          <w:lang w:val="en-US" w:eastAsia="zh-CN"/>
        </w:rPr>
        <w:t xml:space="preserve">observations and </w:t>
      </w:r>
      <w:r>
        <w:rPr>
          <w:lang w:val="en-GB"/>
        </w:rPr>
        <w:t>proposals are made.</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eastAsia"/>
          <w:b/>
          <w:bCs/>
          <w:sz w:val="22"/>
          <w:szCs w:val="22"/>
          <w:lang w:val="en-US" w:eastAsia="zh-CN"/>
        </w:rPr>
      </w:pPr>
      <w:r>
        <w:rPr>
          <w:rFonts w:hint="eastAsia"/>
          <w:b/>
          <w:bCs/>
          <w:sz w:val="22"/>
          <w:szCs w:val="22"/>
          <w:lang w:val="en-US" w:eastAsia="zh-CN"/>
        </w:rPr>
        <w:t>Proposal 1: RAN4 shall specify the framework of the positioning procedure for NR NTN based on the current agreements in RAN1.</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eastAsia"/>
          <w:b/>
          <w:bCs/>
          <w:sz w:val="22"/>
          <w:szCs w:val="22"/>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eastAsia"/>
          <w:b/>
          <w:bCs/>
          <w:sz w:val="22"/>
          <w:szCs w:val="22"/>
          <w:lang w:val="en-US" w:eastAsia="zh-CN"/>
        </w:rPr>
      </w:pPr>
      <w:r>
        <w:rPr>
          <w:rFonts w:hint="eastAsia"/>
          <w:b/>
          <w:bCs/>
          <w:sz w:val="22"/>
          <w:szCs w:val="22"/>
          <w:lang w:val="en-US" w:eastAsia="zh-CN"/>
        </w:rPr>
        <w:t>Proposal 2: The positioning procedure for NTN can be:</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b/>
          <w:bCs/>
          <w:sz w:val="22"/>
          <w:szCs w:val="22"/>
          <w:lang w:val="en-US" w:eastAsia="zh-CN"/>
        </w:rPr>
      </w:pPr>
      <w:r>
        <w:rPr>
          <w:rFonts w:hint="default"/>
          <w:b/>
          <w:bCs/>
          <w:sz w:val="22"/>
          <w:szCs w:val="22"/>
          <w:lang w:val="en-US" w:eastAsia="zh-CN"/>
        </w:rPr>
        <w:drawing>
          <wp:inline distT="0" distB="0" distL="114300" distR="114300">
            <wp:extent cx="4010025" cy="3648075"/>
            <wp:effectExtent l="0" t="0" r="13335" b="9525"/>
            <wp:docPr id="7" name="图片 7" descr="signa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signaling"/>
                    <pic:cNvPicPr>
                      <a:picLocks noChangeAspect="1"/>
                    </pic:cNvPicPr>
                  </pic:nvPicPr>
                  <pic:blipFill>
                    <a:blip r:embed="rId9"/>
                    <a:stretch>
                      <a:fillRect/>
                    </a:stretch>
                  </pic:blipFill>
                  <pic:spPr>
                    <a:xfrm>
                      <a:off x="0" y="0"/>
                      <a:ext cx="4010025" cy="3648075"/>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default"/>
          <w:b/>
          <w:bCs/>
          <w:sz w:val="22"/>
          <w:szCs w:val="22"/>
          <w:lang w:val="en-US" w:eastAsia="zh-CN"/>
        </w:rPr>
      </w:pPr>
      <w:r>
        <w:rPr>
          <w:rFonts w:hint="eastAsia"/>
          <w:b/>
          <w:bCs/>
          <w:i/>
          <w:iCs/>
          <w:sz w:val="22"/>
          <w:szCs w:val="22"/>
          <w:lang w:val="en-US" w:eastAsia="zh-CN"/>
        </w:rPr>
        <w:t>Step 1</w:t>
      </w:r>
      <w:r>
        <w:rPr>
          <w:rFonts w:hint="eastAsia"/>
          <w:b/>
          <w:bCs/>
          <w:sz w:val="22"/>
          <w:szCs w:val="22"/>
          <w:lang w:val="en-US" w:eastAsia="zh-CN"/>
        </w:rPr>
        <w:t>: LMF requests satellite ephermeris information from a single satellite.</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default"/>
          <w:b/>
          <w:bCs/>
          <w:sz w:val="22"/>
          <w:szCs w:val="22"/>
          <w:lang w:val="en-US" w:eastAsia="zh-CN"/>
        </w:rPr>
      </w:pPr>
      <w:r>
        <w:rPr>
          <w:rFonts w:hint="eastAsia"/>
          <w:b/>
          <w:bCs/>
          <w:i/>
          <w:iCs/>
          <w:sz w:val="22"/>
          <w:szCs w:val="22"/>
          <w:lang w:val="en-US" w:eastAsia="zh-CN"/>
        </w:rPr>
        <w:t>Step 2:</w:t>
      </w:r>
      <w:r>
        <w:rPr>
          <w:rFonts w:hint="eastAsia"/>
          <w:b/>
          <w:bCs/>
          <w:sz w:val="22"/>
          <w:szCs w:val="22"/>
          <w:lang w:val="en-US" w:eastAsia="zh-CN"/>
        </w:rPr>
        <w:t xml:space="preserve"> The Satellite informs the LMF of the satellite ephermeris information.</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default"/>
          <w:b/>
          <w:bCs/>
          <w:sz w:val="22"/>
          <w:szCs w:val="22"/>
          <w:lang w:val="en-US" w:eastAsia="zh-CN"/>
        </w:rPr>
      </w:pPr>
      <w:r>
        <w:rPr>
          <w:rFonts w:hint="eastAsia"/>
          <w:b/>
          <w:bCs/>
          <w:i/>
          <w:iCs/>
          <w:sz w:val="22"/>
          <w:szCs w:val="22"/>
          <w:lang w:val="en-US" w:eastAsia="zh-CN"/>
        </w:rPr>
        <w:t>Step 3</w:t>
      </w:r>
      <w:r>
        <w:rPr>
          <w:rFonts w:hint="eastAsia"/>
          <w:b/>
          <w:bCs/>
          <w:sz w:val="22"/>
          <w:szCs w:val="22"/>
          <w:lang w:val="en-US" w:eastAsia="zh-CN"/>
        </w:rPr>
        <w:t xml:space="preserve">: LMF provides assistance data to UE. The assistance data here refers to all the auxiliary information </w:t>
      </w:r>
      <w:r>
        <w:rPr>
          <w:rFonts w:hint="eastAsia"/>
          <w:b/>
          <w:bCs/>
          <w:sz w:val="22"/>
          <w:szCs w:val="22"/>
          <w:lang w:val="en-US" w:eastAsia="zh-CN"/>
        </w:rPr>
        <w:tab/>
      </w:r>
      <w:r>
        <w:rPr>
          <w:rFonts w:hint="eastAsia"/>
          <w:b/>
          <w:bCs/>
          <w:sz w:val="22"/>
          <w:szCs w:val="22"/>
          <w:lang w:val="en-US" w:eastAsia="zh-CN"/>
        </w:rPr>
        <w:tab/>
      </w:r>
      <w:r>
        <w:rPr>
          <w:rFonts w:hint="eastAsia"/>
          <w:b/>
          <w:bCs/>
          <w:sz w:val="22"/>
          <w:szCs w:val="22"/>
          <w:lang w:val="en-US" w:eastAsia="zh-CN"/>
        </w:rPr>
        <w:t xml:space="preserve">required by UE to measure DL-PRS and calculate the position during the positioning process, which is </w:t>
      </w:r>
      <w:r>
        <w:rPr>
          <w:rFonts w:hint="eastAsia"/>
          <w:b/>
          <w:bCs/>
          <w:sz w:val="22"/>
          <w:szCs w:val="22"/>
          <w:lang w:val="en-US" w:eastAsia="zh-CN"/>
        </w:rPr>
        <w:tab/>
      </w:r>
      <w:r>
        <w:rPr>
          <w:rFonts w:hint="eastAsia"/>
          <w:b/>
          <w:bCs/>
          <w:sz w:val="22"/>
          <w:szCs w:val="22"/>
          <w:lang w:val="en-US" w:eastAsia="zh-CN"/>
        </w:rPr>
        <w:tab/>
      </w:r>
      <w:r>
        <w:rPr>
          <w:rFonts w:hint="eastAsia"/>
          <w:b/>
          <w:bCs/>
          <w:sz w:val="22"/>
          <w:szCs w:val="22"/>
          <w:lang w:val="en-US" w:eastAsia="zh-CN"/>
        </w:rPr>
        <w:t>called assistance data.</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default"/>
          <w:b/>
          <w:bCs/>
          <w:sz w:val="22"/>
          <w:szCs w:val="22"/>
          <w:lang w:val="en-US" w:eastAsia="zh-CN"/>
        </w:rPr>
      </w:pPr>
      <w:r>
        <w:rPr>
          <w:rFonts w:hint="eastAsia"/>
          <w:b/>
          <w:bCs/>
          <w:i/>
          <w:iCs/>
          <w:sz w:val="22"/>
          <w:szCs w:val="22"/>
          <w:lang w:val="en-US" w:eastAsia="zh-CN"/>
        </w:rPr>
        <w:t>Step 4</w:t>
      </w:r>
      <w:r>
        <w:rPr>
          <w:rFonts w:hint="eastAsia"/>
          <w:b/>
          <w:bCs/>
          <w:sz w:val="22"/>
          <w:szCs w:val="22"/>
          <w:lang w:val="en-US" w:eastAsia="zh-CN"/>
        </w:rPr>
        <w:t xml:space="preserve">: LMF sends location information requests to UE, and the requested information can be the Rx-Tx </w:t>
      </w:r>
      <w:r>
        <w:rPr>
          <w:rFonts w:hint="eastAsia"/>
          <w:b/>
          <w:bCs/>
          <w:sz w:val="22"/>
          <w:szCs w:val="22"/>
          <w:lang w:val="en-US" w:eastAsia="zh-CN"/>
        </w:rPr>
        <w:tab/>
      </w:r>
      <w:r>
        <w:rPr>
          <w:rFonts w:hint="eastAsia"/>
          <w:b/>
          <w:bCs/>
          <w:sz w:val="22"/>
          <w:szCs w:val="22"/>
          <w:lang w:val="en-US" w:eastAsia="zh-CN"/>
        </w:rPr>
        <w:tab/>
      </w:r>
      <w:r>
        <w:rPr>
          <w:rFonts w:hint="eastAsia"/>
          <w:b/>
          <w:bCs/>
          <w:sz w:val="22"/>
          <w:szCs w:val="22"/>
          <w:lang w:val="en-US" w:eastAsia="zh-CN"/>
        </w:rPr>
        <w:tab/>
      </w:r>
      <w:r>
        <w:rPr>
          <w:rFonts w:hint="eastAsia"/>
          <w:b/>
          <w:bCs/>
          <w:sz w:val="22"/>
          <w:szCs w:val="22"/>
          <w:lang w:val="en-US" w:eastAsia="zh-CN"/>
        </w:rPr>
        <w:t>time difference.</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default"/>
          <w:b/>
          <w:bCs/>
          <w:sz w:val="22"/>
          <w:szCs w:val="22"/>
          <w:lang w:val="en-US" w:eastAsia="zh-CN"/>
        </w:rPr>
      </w:pPr>
      <w:r>
        <w:rPr>
          <w:rFonts w:hint="eastAsia"/>
          <w:b/>
          <w:bCs/>
          <w:i/>
          <w:iCs/>
          <w:sz w:val="22"/>
          <w:szCs w:val="22"/>
          <w:lang w:val="en-US" w:eastAsia="zh-CN"/>
        </w:rPr>
        <w:t>Step 5</w:t>
      </w:r>
      <w:r>
        <w:rPr>
          <w:rFonts w:hint="eastAsia"/>
          <w:b/>
          <w:bCs/>
          <w:sz w:val="22"/>
          <w:szCs w:val="22"/>
          <w:lang w:val="en-US" w:eastAsia="zh-CN"/>
        </w:rPr>
        <w:t>: UE measures DL-PRS.</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eastAsia"/>
          <w:sz w:val="22"/>
          <w:szCs w:val="22"/>
          <w:lang w:val="en-US" w:eastAsia="zh-CN"/>
        </w:rPr>
      </w:pPr>
      <w:r>
        <w:rPr>
          <w:rFonts w:hint="eastAsia"/>
          <w:b/>
          <w:bCs/>
          <w:i/>
          <w:iCs/>
          <w:sz w:val="22"/>
          <w:szCs w:val="22"/>
          <w:lang w:val="en-US" w:eastAsia="zh-CN"/>
        </w:rPr>
        <w:t>Step 6</w:t>
      </w:r>
      <w:r>
        <w:rPr>
          <w:rFonts w:hint="eastAsia"/>
          <w:b/>
          <w:bCs/>
          <w:sz w:val="22"/>
          <w:szCs w:val="22"/>
          <w:lang w:val="en-US" w:eastAsia="zh-CN"/>
        </w:rPr>
        <w:t>: UE provides the location information to LMF</w:t>
      </w:r>
      <w:r>
        <w:rPr>
          <w:rFonts w:hint="eastAsia"/>
          <w:sz w:val="22"/>
          <w:szCs w:val="22"/>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default"/>
          <w:sz w:val="22"/>
          <w:szCs w:val="22"/>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0" w:afterLines="100" w:line="360" w:lineRule="auto"/>
        <w:ind w:leftChars="0"/>
        <w:jc w:val="both"/>
        <w:textAlignment w:val="auto"/>
        <w:rPr>
          <w:rFonts w:hint="default"/>
          <w:b/>
          <w:bCs/>
          <w:sz w:val="22"/>
          <w:szCs w:val="22"/>
          <w:lang w:val="en-US" w:eastAsia="zh-CN"/>
        </w:rPr>
      </w:pPr>
      <w:r>
        <w:rPr>
          <w:rFonts w:hint="eastAsia"/>
          <w:b/>
          <w:bCs/>
          <w:sz w:val="22"/>
          <w:szCs w:val="22"/>
          <w:lang w:val="en-US" w:eastAsia="zh-CN"/>
        </w:rPr>
        <w:t>Proposal 3: RAN4 to define measurement period and accuracy requirements for UE Rx-Tx measurement which the existing TN measurements requirements can be as the baseline.</w:t>
      </w:r>
    </w:p>
    <w:p>
      <w:pPr>
        <w:keepNext w:val="0"/>
        <w:keepLines w:val="0"/>
        <w:pageBreakBefore w:val="0"/>
        <w:widowControl/>
        <w:numPr>
          <w:ilvl w:val="0"/>
          <w:numId w:val="0"/>
        </w:numPr>
        <w:kinsoku/>
        <w:wordWrap/>
        <w:overflowPunct/>
        <w:topLinePunct w:val="0"/>
        <w:autoSpaceDE/>
        <w:autoSpaceDN/>
        <w:bidi w:val="0"/>
        <w:adjustRightInd/>
        <w:snapToGrid/>
        <w:spacing w:after="0" w:afterLines="100" w:line="360" w:lineRule="auto"/>
        <w:ind w:leftChars="0"/>
        <w:jc w:val="both"/>
        <w:textAlignment w:val="auto"/>
        <w:rPr>
          <w:rFonts w:hint="eastAsia"/>
          <w:b/>
          <w:bCs/>
          <w:sz w:val="22"/>
          <w:szCs w:val="22"/>
          <w:lang w:val="en-US" w:eastAsia="zh-CN"/>
        </w:rPr>
      </w:pPr>
      <w:r>
        <w:rPr>
          <w:rFonts w:hint="eastAsia"/>
          <w:b/>
          <w:bCs/>
          <w:sz w:val="22"/>
          <w:szCs w:val="22"/>
          <w:lang w:val="en-US" w:eastAsia="zh-CN"/>
        </w:rPr>
        <w:t>Observation 1: The reporting range is -0.5ms-0.5ms, this is range is enough for TN positioning but may be not proper for NTN scenario since the distance is too large between UE and the single satellite.</w:t>
      </w:r>
    </w:p>
    <w:p>
      <w:pPr>
        <w:keepNext w:val="0"/>
        <w:keepLines w:val="0"/>
        <w:pageBreakBefore w:val="0"/>
        <w:widowControl/>
        <w:numPr>
          <w:ilvl w:val="0"/>
          <w:numId w:val="0"/>
        </w:numPr>
        <w:kinsoku/>
        <w:wordWrap/>
        <w:overflowPunct/>
        <w:topLinePunct w:val="0"/>
        <w:autoSpaceDE/>
        <w:autoSpaceDN/>
        <w:bidi w:val="0"/>
        <w:adjustRightInd/>
        <w:snapToGrid/>
        <w:spacing w:after="0" w:afterLines="100" w:line="360" w:lineRule="auto"/>
        <w:ind w:leftChars="0"/>
        <w:jc w:val="both"/>
        <w:textAlignment w:val="auto"/>
        <w:rPr>
          <w:rFonts w:hint="default"/>
          <w:b/>
          <w:bCs/>
          <w:sz w:val="22"/>
          <w:szCs w:val="22"/>
          <w:lang w:val="en-US" w:eastAsia="zh-CN"/>
        </w:rPr>
      </w:pPr>
      <w:r>
        <w:rPr>
          <w:rFonts w:hint="eastAsia"/>
          <w:b/>
          <w:bCs/>
          <w:sz w:val="22"/>
          <w:szCs w:val="22"/>
          <w:lang w:val="en-US" w:eastAsia="zh-CN"/>
        </w:rPr>
        <w:t>Proposal 4: RAN4 shall consider to study and update or define the new report range for NTN positioning.</w:t>
      </w:r>
    </w:p>
    <w:p>
      <w:pPr>
        <w:rPr>
          <w:lang w:val="en-GB"/>
        </w:rPr>
      </w:pPr>
    </w:p>
    <w:p>
      <w:pPr>
        <w:pStyle w:val="74"/>
        <w:numPr>
          <w:ilvl w:val="0"/>
          <w:numId w:val="0"/>
        </w:numPr>
        <w:ind w:left="360" w:hanging="360"/>
        <w:rPr>
          <w:lang w:val="en-US"/>
        </w:rPr>
      </w:pPr>
      <w:r>
        <w:rPr>
          <w:lang w:val="en-US"/>
        </w:rPr>
        <w:t>References</w:t>
      </w:r>
    </w:p>
    <w:p>
      <w:pPr>
        <w:pStyle w:val="70"/>
        <w:numPr>
          <w:ilvl w:val="0"/>
          <w:numId w:val="5"/>
        </w:numPr>
        <w:ind w:right="-22"/>
      </w:pPr>
      <w:bookmarkStart w:id="0" w:name="_Ref114500673"/>
      <w:bookmarkEnd w:id="0"/>
      <w:r>
        <w:t>RP-2</w:t>
      </w:r>
      <w:r>
        <w:rPr>
          <w:rFonts w:hint="eastAsia" w:eastAsia="宋体"/>
          <w:lang w:val="en-US" w:eastAsia="zh-CN"/>
        </w:rPr>
        <w:t>23534</w:t>
      </w:r>
      <w:r>
        <w:t>, “</w:t>
      </w:r>
      <w:r>
        <w:rPr>
          <w:rFonts w:hint="eastAsia"/>
        </w:rPr>
        <w:t>Revised WID: NR NTN (Non-Terrestrial Networks) enhancements</w:t>
      </w:r>
      <w:r>
        <w:t xml:space="preserve">”, </w:t>
      </w:r>
      <w:r>
        <w:rPr>
          <w:rFonts w:hint="eastAsia" w:eastAsia="宋体"/>
          <w:lang w:val="en-US" w:eastAsia="zh-CN"/>
        </w:rPr>
        <w:t>Thales</w:t>
      </w:r>
    </w:p>
    <w:p>
      <w:pPr>
        <w:pStyle w:val="70"/>
        <w:numPr>
          <w:ilvl w:val="0"/>
          <w:numId w:val="5"/>
        </w:numPr>
        <w:ind w:right="-22"/>
      </w:pPr>
      <w:r>
        <w:rPr>
          <w:rFonts w:hint="eastAsia"/>
        </w:rPr>
        <w:t>R4-2310168</w:t>
      </w:r>
      <w:r>
        <w:t>, “</w:t>
      </w:r>
      <w:r>
        <w:rPr>
          <w:rFonts w:hint="eastAsia"/>
        </w:rPr>
        <w:t>WF on NR NTN enhancements RRM requirements</w:t>
      </w:r>
      <w:r>
        <w:t xml:space="preserve">”, </w:t>
      </w:r>
      <w:r>
        <w:rPr>
          <w:rFonts w:hint="eastAsia"/>
        </w:rPr>
        <w:t>Qualcomm Incorporated</w:t>
      </w:r>
    </w:p>
    <w:p>
      <w:pPr>
        <w:pStyle w:val="70"/>
        <w:numPr>
          <w:ilvl w:val="0"/>
          <w:numId w:val="5"/>
        </w:numPr>
        <w:ind w:right="-22"/>
      </w:pPr>
      <w:r>
        <w:t>3GPP T</w:t>
      </w:r>
      <w:r>
        <w:rPr>
          <w:rFonts w:hint="eastAsia" w:eastAsia="宋体"/>
          <w:lang w:val="en-US" w:eastAsia="zh-CN"/>
        </w:rPr>
        <w:t>S</w:t>
      </w:r>
      <w:r>
        <w:t xml:space="preserve"> 38.</w:t>
      </w:r>
      <w:r>
        <w:rPr>
          <w:rFonts w:hint="eastAsia" w:eastAsia="宋体"/>
          <w:lang w:val="en-US" w:eastAsia="zh-CN"/>
        </w:rPr>
        <w:t>133</w:t>
      </w:r>
      <w:r>
        <w:t xml:space="preserve"> </w:t>
      </w: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3"/>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4F29A1"/>
    <w:multiLevelType w:val="singleLevel"/>
    <w:tmpl w:val="C24F29A1"/>
    <w:lvl w:ilvl="0" w:tentative="0">
      <w:start w:val="1"/>
      <w:numFmt w:val="bullet"/>
      <w:lvlText w:val=""/>
      <w:lvlJc w:val="left"/>
      <w:pPr>
        <w:ind w:left="420" w:hanging="420"/>
      </w:pPr>
      <w:rPr>
        <w:rFonts w:hint="default" w:ascii="Wingdings" w:hAnsi="Wingdings"/>
      </w:rPr>
    </w:lvl>
  </w:abstractNum>
  <w:abstractNum w:abstractNumId="1">
    <w:nsid w:val="24EFA2B6"/>
    <w:multiLevelType w:val="singleLevel"/>
    <w:tmpl w:val="24EFA2B6"/>
    <w:lvl w:ilvl="0" w:tentative="0">
      <w:start w:val="1"/>
      <w:numFmt w:val="bullet"/>
      <w:lvlText w:val=""/>
      <w:lvlJc w:val="left"/>
      <w:pPr>
        <w:ind w:left="420" w:hanging="420"/>
      </w:pPr>
      <w:rPr>
        <w:rFonts w:hint="default" w:ascii="Wingdings" w:hAnsi="Wingdings"/>
      </w:rPr>
    </w:lvl>
  </w:abstractNum>
  <w:abstractNum w:abstractNumId="2">
    <w:nsid w:val="4D6E3167"/>
    <w:multiLevelType w:val="multilevel"/>
    <w:tmpl w:val="4D6E3167"/>
    <w:lvl w:ilvl="0" w:tentative="0">
      <w:start w:val="1"/>
      <w:numFmt w:val="decimal"/>
      <w:pStyle w:val="77"/>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5A221516"/>
    <w:multiLevelType w:val="multilevel"/>
    <w:tmpl w:val="5A22151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65C217B"/>
    <w:multiLevelType w:val="multilevel"/>
    <w:tmpl w:val="665C217B"/>
    <w:lvl w:ilvl="0" w:tentative="0">
      <w:start w:val="1"/>
      <w:numFmt w:val="decimal"/>
      <w:pStyle w:val="74"/>
      <w:lvlText w:val="%1"/>
      <w:lvlJc w:val="left"/>
      <w:pPr>
        <w:ind w:left="360" w:hanging="360"/>
      </w:pPr>
      <w:rPr>
        <w:rFonts w:hint="default"/>
      </w:rPr>
    </w:lvl>
    <w:lvl w:ilvl="1" w:tentative="0">
      <w:start w:val="1"/>
      <w:numFmt w:val="decimal"/>
      <w:pStyle w:val="76"/>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79B6"/>
    <w:rsid w:val="002840A1"/>
    <w:rsid w:val="002B6339"/>
    <w:rsid w:val="002E00EE"/>
    <w:rsid w:val="002F75B1"/>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C6BC6"/>
    <w:rsid w:val="00AE65E2"/>
    <w:rsid w:val="00B15449"/>
    <w:rsid w:val="00B66DD7"/>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D12A57"/>
    <w:rsid w:val="00D544DE"/>
    <w:rsid w:val="00D57972"/>
    <w:rsid w:val="00D6299F"/>
    <w:rsid w:val="00D675A9"/>
    <w:rsid w:val="00D738D6"/>
    <w:rsid w:val="00D74883"/>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66C59"/>
    <w:rsid w:val="00F76708"/>
    <w:rsid w:val="00F7733E"/>
    <w:rsid w:val="00F80895"/>
    <w:rsid w:val="00F9008D"/>
    <w:rsid w:val="00FA1266"/>
    <w:rsid w:val="00FC1192"/>
    <w:rsid w:val="01457ED6"/>
    <w:rsid w:val="01555FC5"/>
    <w:rsid w:val="01580E70"/>
    <w:rsid w:val="015857D3"/>
    <w:rsid w:val="01907C39"/>
    <w:rsid w:val="01B51219"/>
    <w:rsid w:val="01BC5539"/>
    <w:rsid w:val="027313F4"/>
    <w:rsid w:val="02AD5C00"/>
    <w:rsid w:val="02B51BBB"/>
    <w:rsid w:val="02D447D2"/>
    <w:rsid w:val="02F606FB"/>
    <w:rsid w:val="03384693"/>
    <w:rsid w:val="037E0647"/>
    <w:rsid w:val="0398423F"/>
    <w:rsid w:val="03AD71D3"/>
    <w:rsid w:val="040E2D4A"/>
    <w:rsid w:val="041C4308"/>
    <w:rsid w:val="044012A9"/>
    <w:rsid w:val="046301A2"/>
    <w:rsid w:val="04BA6C01"/>
    <w:rsid w:val="04E13F4A"/>
    <w:rsid w:val="05067815"/>
    <w:rsid w:val="054929AB"/>
    <w:rsid w:val="057832E6"/>
    <w:rsid w:val="05945A70"/>
    <w:rsid w:val="059F2151"/>
    <w:rsid w:val="05DB67C3"/>
    <w:rsid w:val="05FE0EF5"/>
    <w:rsid w:val="06550655"/>
    <w:rsid w:val="06730ED0"/>
    <w:rsid w:val="069C1BFD"/>
    <w:rsid w:val="06A745C7"/>
    <w:rsid w:val="06C73BF6"/>
    <w:rsid w:val="06E966B3"/>
    <w:rsid w:val="07150A56"/>
    <w:rsid w:val="074C5E55"/>
    <w:rsid w:val="075560E1"/>
    <w:rsid w:val="076170B1"/>
    <w:rsid w:val="0771776A"/>
    <w:rsid w:val="0788005C"/>
    <w:rsid w:val="079F65E1"/>
    <w:rsid w:val="07EC1E65"/>
    <w:rsid w:val="07F66AC5"/>
    <w:rsid w:val="080843A7"/>
    <w:rsid w:val="081420BA"/>
    <w:rsid w:val="081732C0"/>
    <w:rsid w:val="08230CD1"/>
    <w:rsid w:val="083F59D2"/>
    <w:rsid w:val="084C657D"/>
    <w:rsid w:val="086461A7"/>
    <w:rsid w:val="08D850A7"/>
    <w:rsid w:val="08EF35FD"/>
    <w:rsid w:val="08F22836"/>
    <w:rsid w:val="09005754"/>
    <w:rsid w:val="09606948"/>
    <w:rsid w:val="096E0D4F"/>
    <w:rsid w:val="09851B6E"/>
    <w:rsid w:val="098C6AAD"/>
    <w:rsid w:val="099A2A98"/>
    <w:rsid w:val="09A722C6"/>
    <w:rsid w:val="09D57D44"/>
    <w:rsid w:val="09EA1DC6"/>
    <w:rsid w:val="0A2D71D6"/>
    <w:rsid w:val="0A3664F1"/>
    <w:rsid w:val="0A521B30"/>
    <w:rsid w:val="0A553D49"/>
    <w:rsid w:val="0A5B305B"/>
    <w:rsid w:val="0A6C3BCC"/>
    <w:rsid w:val="0A8B1B5B"/>
    <w:rsid w:val="0A911D50"/>
    <w:rsid w:val="0ABC02E8"/>
    <w:rsid w:val="0AD15EE4"/>
    <w:rsid w:val="0AEB5593"/>
    <w:rsid w:val="0B1B3502"/>
    <w:rsid w:val="0B3F6621"/>
    <w:rsid w:val="0B4D684B"/>
    <w:rsid w:val="0B527F01"/>
    <w:rsid w:val="0B6A4840"/>
    <w:rsid w:val="0B707256"/>
    <w:rsid w:val="0B863CAE"/>
    <w:rsid w:val="0BAB09BD"/>
    <w:rsid w:val="0BB30902"/>
    <w:rsid w:val="0BFD1F48"/>
    <w:rsid w:val="0C0D74EA"/>
    <w:rsid w:val="0C120ED6"/>
    <w:rsid w:val="0CC050E4"/>
    <w:rsid w:val="0CE67779"/>
    <w:rsid w:val="0CF64B6C"/>
    <w:rsid w:val="0CFC76A9"/>
    <w:rsid w:val="0D377674"/>
    <w:rsid w:val="0D8972A3"/>
    <w:rsid w:val="0DAC1BB6"/>
    <w:rsid w:val="0DB41DA9"/>
    <w:rsid w:val="0DC25C48"/>
    <w:rsid w:val="0E1E4B1A"/>
    <w:rsid w:val="0E2D081B"/>
    <w:rsid w:val="0E304771"/>
    <w:rsid w:val="0E777792"/>
    <w:rsid w:val="0E830A04"/>
    <w:rsid w:val="0ED6239A"/>
    <w:rsid w:val="0EE1225A"/>
    <w:rsid w:val="0F025E2E"/>
    <w:rsid w:val="0F19776F"/>
    <w:rsid w:val="0F503AEA"/>
    <w:rsid w:val="0F511411"/>
    <w:rsid w:val="0FAF5D2E"/>
    <w:rsid w:val="0FB63F96"/>
    <w:rsid w:val="0FDB4972"/>
    <w:rsid w:val="0FDE4688"/>
    <w:rsid w:val="0FF0503B"/>
    <w:rsid w:val="10347810"/>
    <w:rsid w:val="103D3F2B"/>
    <w:rsid w:val="10770828"/>
    <w:rsid w:val="10BB3068"/>
    <w:rsid w:val="10C531CC"/>
    <w:rsid w:val="11590972"/>
    <w:rsid w:val="11846297"/>
    <w:rsid w:val="11947EDC"/>
    <w:rsid w:val="11C02A89"/>
    <w:rsid w:val="11EE75FC"/>
    <w:rsid w:val="11FC4C7B"/>
    <w:rsid w:val="12560E11"/>
    <w:rsid w:val="12694F20"/>
    <w:rsid w:val="128B68B0"/>
    <w:rsid w:val="12BF244D"/>
    <w:rsid w:val="12C003F7"/>
    <w:rsid w:val="12D01E4D"/>
    <w:rsid w:val="12D04199"/>
    <w:rsid w:val="12E10C90"/>
    <w:rsid w:val="13341216"/>
    <w:rsid w:val="13552E77"/>
    <w:rsid w:val="138107A9"/>
    <w:rsid w:val="139B3D83"/>
    <w:rsid w:val="13A16E2D"/>
    <w:rsid w:val="13AE0DDA"/>
    <w:rsid w:val="13C23A1B"/>
    <w:rsid w:val="14137223"/>
    <w:rsid w:val="142A2204"/>
    <w:rsid w:val="145B66A3"/>
    <w:rsid w:val="14785DC8"/>
    <w:rsid w:val="148808F1"/>
    <w:rsid w:val="149614DF"/>
    <w:rsid w:val="14A63B80"/>
    <w:rsid w:val="14AA405D"/>
    <w:rsid w:val="14EE16A4"/>
    <w:rsid w:val="150B02A5"/>
    <w:rsid w:val="155326B6"/>
    <w:rsid w:val="157108D1"/>
    <w:rsid w:val="15780852"/>
    <w:rsid w:val="157C2EEB"/>
    <w:rsid w:val="15917289"/>
    <w:rsid w:val="15950B53"/>
    <w:rsid w:val="15E51A22"/>
    <w:rsid w:val="1646133C"/>
    <w:rsid w:val="165C4C44"/>
    <w:rsid w:val="169A4ADB"/>
    <w:rsid w:val="16AA061C"/>
    <w:rsid w:val="16CD4CA5"/>
    <w:rsid w:val="16E84E9D"/>
    <w:rsid w:val="16F43737"/>
    <w:rsid w:val="170716B6"/>
    <w:rsid w:val="17104EF2"/>
    <w:rsid w:val="173D628D"/>
    <w:rsid w:val="1743780F"/>
    <w:rsid w:val="175017ED"/>
    <w:rsid w:val="175C4A8E"/>
    <w:rsid w:val="176F3F08"/>
    <w:rsid w:val="17CD588E"/>
    <w:rsid w:val="17D01F3A"/>
    <w:rsid w:val="17EF1163"/>
    <w:rsid w:val="17FF14ED"/>
    <w:rsid w:val="1811483D"/>
    <w:rsid w:val="18244E65"/>
    <w:rsid w:val="184632DE"/>
    <w:rsid w:val="184A62E0"/>
    <w:rsid w:val="185A42FA"/>
    <w:rsid w:val="1874058F"/>
    <w:rsid w:val="18A8677B"/>
    <w:rsid w:val="18E96032"/>
    <w:rsid w:val="18EE62E8"/>
    <w:rsid w:val="1950368A"/>
    <w:rsid w:val="19551A74"/>
    <w:rsid w:val="195A1855"/>
    <w:rsid w:val="195C2D9C"/>
    <w:rsid w:val="19643B11"/>
    <w:rsid w:val="197C2433"/>
    <w:rsid w:val="19867C86"/>
    <w:rsid w:val="19B64E0D"/>
    <w:rsid w:val="19D756DD"/>
    <w:rsid w:val="1A0158A0"/>
    <w:rsid w:val="1A2553BA"/>
    <w:rsid w:val="1A367AD8"/>
    <w:rsid w:val="1A547F80"/>
    <w:rsid w:val="1A5A6EC2"/>
    <w:rsid w:val="1A6C30C8"/>
    <w:rsid w:val="1AA67EE7"/>
    <w:rsid w:val="1AC1611F"/>
    <w:rsid w:val="1AC56317"/>
    <w:rsid w:val="1AD65135"/>
    <w:rsid w:val="1AD97202"/>
    <w:rsid w:val="1ADA7A22"/>
    <w:rsid w:val="1AED3950"/>
    <w:rsid w:val="1B0A73AC"/>
    <w:rsid w:val="1B1104FB"/>
    <w:rsid w:val="1B481120"/>
    <w:rsid w:val="1B4E67D5"/>
    <w:rsid w:val="1B777BC9"/>
    <w:rsid w:val="1B953EDB"/>
    <w:rsid w:val="1B990279"/>
    <w:rsid w:val="1B9B4E1C"/>
    <w:rsid w:val="1B9C50E9"/>
    <w:rsid w:val="1BA81597"/>
    <w:rsid w:val="1BAD4429"/>
    <w:rsid w:val="1BB80557"/>
    <w:rsid w:val="1C0C6E69"/>
    <w:rsid w:val="1C0D3F01"/>
    <w:rsid w:val="1C2C3033"/>
    <w:rsid w:val="1C733635"/>
    <w:rsid w:val="1C9A66FC"/>
    <w:rsid w:val="1CDA0DB5"/>
    <w:rsid w:val="1D1D542F"/>
    <w:rsid w:val="1D1E59AA"/>
    <w:rsid w:val="1D3064BB"/>
    <w:rsid w:val="1D786282"/>
    <w:rsid w:val="1D9B153F"/>
    <w:rsid w:val="1DB230B8"/>
    <w:rsid w:val="1DB553DF"/>
    <w:rsid w:val="1DB56BA1"/>
    <w:rsid w:val="1DE30818"/>
    <w:rsid w:val="1E194EC7"/>
    <w:rsid w:val="1E3F4F33"/>
    <w:rsid w:val="1EAD4127"/>
    <w:rsid w:val="1EB77760"/>
    <w:rsid w:val="1EB8797A"/>
    <w:rsid w:val="1ECB3963"/>
    <w:rsid w:val="1ED004D7"/>
    <w:rsid w:val="1EEB4161"/>
    <w:rsid w:val="1EEF3FAB"/>
    <w:rsid w:val="1F25251D"/>
    <w:rsid w:val="1F2F4901"/>
    <w:rsid w:val="1F305956"/>
    <w:rsid w:val="1F3869FB"/>
    <w:rsid w:val="1F3F1CC1"/>
    <w:rsid w:val="1F430FAA"/>
    <w:rsid w:val="1F655CF0"/>
    <w:rsid w:val="1F7B03C5"/>
    <w:rsid w:val="1F7E201D"/>
    <w:rsid w:val="1F9B774C"/>
    <w:rsid w:val="1FBB5482"/>
    <w:rsid w:val="1FF9177B"/>
    <w:rsid w:val="1FFD1F53"/>
    <w:rsid w:val="200D64BE"/>
    <w:rsid w:val="202946BE"/>
    <w:rsid w:val="202D06F1"/>
    <w:rsid w:val="203A7FDB"/>
    <w:rsid w:val="20584BED"/>
    <w:rsid w:val="20995AB3"/>
    <w:rsid w:val="20AF3B3A"/>
    <w:rsid w:val="20BB5B68"/>
    <w:rsid w:val="20C30456"/>
    <w:rsid w:val="210D6CE7"/>
    <w:rsid w:val="21361FB5"/>
    <w:rsid w:val="21412720"/>
    <w:rsid w:val="214B3D89"/>
    <w:rsid w:val="21575426"/>
    <w:rsid w:val="2177769E"/>
    <w:rsid w:val="21820417"/>
    <w:rsid w:val="219C3A39"/>
    <w:rsid w:val="219F37C5"/>
    <w:rsid w:val="22084B81"/>
    <w:rsid w:val="221C2B01"/>
    <w:rsid w:val="22CA5C07"/>
    <w:rsid w:val="230D3451"/>
    <w:rsid w:val="23165742"/>
    <w:rsid w:val="235141D1"/>
    <w:rsid w:val="236364F7"/>
    <w:rsid w:val="23872BF4"/>
    <w:rsid w:val="238C0530"/>
    <w:rsid w:val="23CE12F9"/>
    <w:rsid w:val="23EB4621"/>
    <w:rsid w:val="24034BF3"/>
    <w:rsid w:val="244B441E"/>
    <w:rsid w:val="24582668"/>
    <w:rsid w:val="247A3E32"/>
    <w:rsid w:val="247C113F"/>
    <w:rsid w:val="24971D9F"/>
    <w:rsid w:val="24A56A4C"/>
    <w:rsid w:val="24B729DF"/>
    <w:rsid w:val="24E505FF"/>
    <w:rsid w:val="2505774C"/>
    <w:rsid w:val="250C43B4"/>
    <w:rsid w:val="253F7423"/>
    <w:rsid w:val="25425A19"/>
    <w:rsid w:val="258C11BB"/>
    <w:rsid w:val="25AB3D1C"/>
    <w:rsid w:val="25FA44CF"/>
    <w:rsid w:val="26014A29"/>
    <w:rsid w:val="26274BB6"/>
    <w:rsid w:val="262F0D25"/>
    <w:rsid w:val="26381768"/>
    <w:rsid w:val="26AA20D3"/>
    <w:rsid w:val="26B27284"/>
    <w:rsid w:val="26F81EB4"/>
    <w:rsid w:val="271834C3"/>
    <w:rsid w:val="271F0AE2"/>
    <w:rsid w:val="27310B9A"/>
    <w:rsid w:val="273E1C11"/>
    <w:rsid w:val="27446B14"/>
    <w:rsid w:val="27754467"/>
    <w:rsid w:val="27854598"/>
    <w:rsid w:val="27977EDE"/>
    <w:rsid w:val="27D65541"/>
    <w:rsid w:val="27EC5FCE"/>
    <w:rsid w:val="28024EE0"/>
    <w:rsid w:val="281E4CA8"/>
    <w:rsid w:val="28417461"/>
    <w:rsid w:val="284A4107"/>
    <w:rsid w:val="28514B45"/>
    <w:rsid w:val="28671C46"/>
    <w:rsid w:val="2869013D"/>
    <w:rsid w:val="287C02AE"/>
    <w:rsid w:val="28825243"/>
    <w:rsid w:val="288D20D6"/>
    <w:rsid w:val="28E70B5D"/>
    <w:rsid w:val="28EF7C18"/>
    <w:rsid w:val="28F045AC"/>
    <w:rsid w:val="29111799"/>
    <w:rsid w:val="293F7597"/>
    <w:rsid w:val="2943069F"/>
    <w:rsid w:val="29572CC9"/>
    <w:rsid w:val="297E0E5E"/>
    <w:rsid w:val="29876AEF"/>
    <w:rsid w:val="299715A4"/>
    <w:rsid w:val="29D60A95"/>
    <w:rsid w:val="29D968F2"/>
    <w:rsid w:val="2A240B36"/>
    <w:rsid w:val="2A2D73EC"/>
    <w:rsid w:val="2A510059"/>
    <w:rsid w:val="2A8D35FB"/>
    <w:rsid w:val="2A9D3339"/>
    <w:rsid w:val="2AA369DD"/>
    <w:rsid w:val="2ACD3A4B"/>
    <w:rsid w:val="2B5B698F"/>
    <w:rsid w:val="2BB734AB"/>
    <w:rsid w:val="2BD376AF"/>
    <w:rsid w:val="2BDE5290"/>
    <w:rsid w:val="2C1B7D41"/>
    <w:rsid w:val="2C2466CA"/>
    <w:rsid w:val="2C7E0327"/>
    <w:rsid w:val="2CC81FA6"/>
    <w:rsid w:val="2CCE6BC5"/>
    <w:rsid w:val="2CF06E1D"/>
    <w:rsid w:val="2D157C39"/>
    <w:rsid w:val="2D860097"/>
    <w:rsid w:val="2D994F13"/>
    <w:rsid w:val="2D9A1978"/>
    <w:rsid w:val="2DCC158E"/>
    <w:rsid w:val="2E106E4C"/>
    <w:rsid w:val="2E3A3425"/>
    <w:rsid w:val="2E5E508C"/>
    <w:rsid w:val="2E7F52E5"/>
    <w:rsid w:val="2E9F621B"/>
    <w:rsid w:val="2EA57014"/>
    <w:rsid w:val="2EC16714"/>
    <w:rsid w:val="2EFA1C73"/>
    <w:rsid w:val="2F2B12A9"/>
    <w:rsid w:val="2F3F5B09"/>
    <w:rsid w:val="2F680744"/>
    <w:rsid w:val="2F6E6454"/>
    <w:rsid w:val="2F731060"/>
    <w:rsid w:val="2F8124F8"/>
    <w:rsid w:val="2FAB72D0"/>
    <w:rsid w:val="2FB8303D"/>
    <w:rsid w:val="2FC73BC7"/>
    <w:rsid w:val="2FDB254D"/>
    <w:rsid w:val="2FE5590A"/>
    <w:rsid w:val="30160ACC"/>
    <w:rsid w:val="303A25F8"/>
    <w:rsid w:val="304C5B6E"/>
    <w:rsid w:val="307045FF"/>
    <w:rsid w:val="307831AE"/>
    <w:rsid w:val="30792CCF"/>
    <w:rsid w:val="308101E0"/>
    <w:rsid w:val="30944718"/>
    <w:rsid w:val="31400B86"/>
    <w:rsid w:val="315D6EBA"/>
    <w:rsid w:val="317812C7"/>
    <w:rsid w:val="319949BC"/>
    <w:rsid w:val="31B9498A"/>
    <w:rsid w:val="31D21C66"/>
    <w:rsid w:val="31E62269"/>
    <w:rsid w:val="31FF389A"/>
    <w:rsid w:val="320C562E"/>
    <w:rsid w:val="3218181F"/>
    <w:rsid w:val="32224F6F"/>
    <w:rsid w:val="325C49CB"/>
    <w:rsid w:val="3272661A"/>
    <w:rsid w:val="327A1E1C"/>
    <w:rsid w:val="32AC322C"/>
    <w:rsid w:val="32DC7B67"/>
    <w:rsid w:val="32EB00B2"/>
    <w:rsid w:val="32EF4370"/>
    <w:rsid w:val="33106031"/>
    <w:rsid w:val="33106E3B"/>
    <w:rsid w:val="33246706"/>
    <w:rsid w:val="336504AA"/>
    <w:rsid w:val="33842AA6"/>
    <w:rsid w:val="33871010"/>
    <w:rsid w:val="338D6495"/>
    <w:rsid w:val="33A0623B"/>
    <w:rsid w:val="33B522A2"/>
    <w:rsid w:val="33D846D5"/>
    <w:rsid w:val="33F40509"/>
    <w:rsid w:val="341F63FB"/>
    <w:rsid w:val="342A5256"/>
    <w:rsid w:val="344762FD"/>
    <w:rsid w:val="344B35F8"/>
    <w:rsid w:val="349857D1"/>
    <w:rsid w:val="34B464B0"/>
    <w:rsid w:val="34BF6361"/>
    <w:rsid w:val="34E212A0"/>
    <w:rsid w:val="34E84524"/>
    <w:rsid w:val="34EF13EE"/>
    <w:rsid w:val="350160CA"/>
    <w:rsid w:val="350D3EAF"/>
    <w:rsid w:val="350E483C"/>
    <w:rsid w:val="35175003"/>
    <w:rsid w:val="351777B5"/>
    <w:rsid w:val="35290A77"/>
    <w:rsid w:val="353C3994"/>
    <w:rsid w:val="35575A6C"/>
    <w:rsid w:val="356A601B"/>
    <w:rsid w:val="35D57307"/>
    <w:rsid w:val="36225127"/>
    <w:rsid w:val="36237E20"/>
    <w:rsid w:val="3650593D"/>
    <w:rsid w:val="36995A1D"/>
    <w:rsid w:val="36EB5C59"/>
    <w:rsid w:val="370547F4"/>
    <w:rsid w:val="37184E5E"/>
    <w:rsid w:val="37394B96"/>
    <w:rsid w:val="373B4DAF"/>
    <w:rsid w:val="376C5D00"/>
    <w:rsid w:val="377F4E51"/>
    <w:rsid w:val="38021B03"/>
    <w:rsid w:val="382523BD"/>
    <w:rsid w:val="3840198B"/>
    <w:rsid w:val="387455FA"/>
    <w:rsid w:val="38B669DF"/>
    <w:rsid w:val="38BF28AA"/>
    <w:rsid w:val="38C47816"/>
    <w:rsid w:val="38D33EE0"/>
    <w:rsid w:val="394300B5"/>
    <w:rsid w:val="39C9557A"/>
    <w:rsid w:val="39D3500A"/>
    <w:rsid w:val="39E55169"/>
    <w:rsid w:val="39F10BBA"/>
    <w:rsid w:val="3A02103F"/>
    <w:rsid w:val="3A907561"/>
    <w:rsid w:val="3AA02CE4"/>
    <w:rsid w:val="3AB8281F"/>
    <w:rsid w:val="3AD1508C"/>
    <w:rsid w:val="3AD31906"/>
    <w:rsid w:val="3AE55A2B"/>
    <w:rsid w:val="3AFF4416"/>
    <w:rsid w:val="3B3426D6"/>
    <w:rsid w:val="3B5410CF"/>
    <w:rsid w:val="3B61770F"/>
    <w:rsid w:val="3B8553BD"/>
    <w:rsid w:val="3BA606D6"/>
    <w:rsid w:val="3BD60D68"/>
    <w:rsid w:val="3BEE403C"/>
    <w:rsid w:val="3C2657B0"/>
    <w:rsid w:val="3C55385D"/>
    <w:rsid w:val="3C8A7DDC"/>
    <w:rsid w:val="3CA65042"/>
    <w:rsid w:val="3CBD75BF"/>
    <w:rsid w:val="3CD63DC8"/>
    <w:rsid w:val="3CD90520"/>
    <w:rsid w:val="3D011447"/>
    <w:rsid w:val="3D4628ED"/>
    <w:rsid w:val="3D47068D"/>
    <w:rsid w:val="3D555673"/>
    <w:rsid w:val="3D6D2D6A"/>
    <w:rsid w:val="3D876DDA"/>
    <w:rsid w:val="3DB8028D"/>
    <w:rsid w:val="3DC272D3"/>
    <w:rsid w:val="3DF55B8D"/>
    <w:rsid w:val="3E2818E7"/>
    <w:rsid w:val="3E320B89"/>
    <w:rsid w:val="3E8331F5"/>
    <w:rsid w:val="3E9E3E34"/>
    <w:rsid w:val="3EA13D1E"/>
    <w:rsid w:val="3EB00C71"/>
    <w:rsid w:val="3EB62B9B"/>
    <w:rsid w:val="3EC6011E"/>
    <w:rsid w:val="3EEA4E11"/>
    <w:rsid w:val="3EF0155E"/>
    <w:rsid w:val="3EF13BC7"/>
    <w:rsid w:val="3EF8002C"/>
    <w:rsid w:val="3F247660"/>
    <w:rsid w:val="3F3623A6"/>
    <w:rsid w:val="3F50693D"/>
    <w:rsid w:val="3F7C4A83"/>
    <w:rsid w:val="3F7F1BBA"/>
    <w:rsid w:val="3FB137E9"/>
    <w:rsid w:val="3FF84C6C"/>
    <w:rsid w:val="400F48F8"/>
    <w:rsid w:val="40152803"/>
    <w:rsid w:val="4020379E"/>
    <w:rsid w:val="404B55D6"/>
    <w:rsid w:val="405F1A6C"/>
    <w:rsid w:val="40630867"/>
    <w:rsid w:val="406C0698"/>
    <w:rsid w:val="40AF0485"/>
    <w:rsid w:val="40D34024"/>
    <w:rsid w:val="41275C6B"/>
    <w:rsid w:val="41366B89"/>
    <w:rsid w:val="417029BE"/>
    <w:rsid w:val="41771599"/>
    <w:rsid w:val="41851C58"/>
    <w:rsid w:val="4201758B"/>
    <w:rsid w:val="420558C2"/>
    <w:rsid w:val="42FF71DC"/>
    <w:rsid w:val="436E1360"/>
    <w:rsid w:val="4395576F"/>
    <w:rsid w:val="43BD5DE5"/>
    <w:rsid w:val="43E24130"/>
    <w:rsid w:val="43F771B5"/>
    <w:rsid w:val="441402E6"/>
    <w:rsid w:val="44361A8B"/>
    <w:rsid w:val="444220B2"/>
    <w:rsid w:val="444D54BA"/>
    <w:rsid w:val="44A7496E"/>
    <w:rsid w:val="44B36E39"/>
    <w:rsid w:val="44CD29F0"/>
    <w:rsid w:val="44D62972"/>
    <w:rsid w:val="44EC7013"/>
    <w:rsid w:val="4505534B"/>
    <w:rsid w:val="45427AA4"/>
    <w:rsid w:val="45543CFF"/>
    <w:rsid w:val="455B6233"/>
    <w:rsid w:val="458D68C3"/>
    <w:rsid w:val="45D93D4C"/>
    <w:rsid w:val="45F92F9E"/>
    <w:rsid w:val="46032CFE"/>
    <w:rsid w:val="4623211C"/>
    <w:rsid w:val="46444F09"/>
    <w:rsid w:val="465257AE"/>
    <w:rsid w:val="467A1B1A"/>
    <w:rsid w:val="46A9603F"/>
    <w:rsid w:val="46F43807"/>
    <w:rsid w:val="46F63E3C"/>
    <w:rsid w:val="47003328"/>
    <w:rsid w:val="47085C3E"/>
    <w:rsid w:val="4780525E"/>
    <w:rsid w:val="47955FA2"/>
    <w:rsid w:val="47A62314"/>
    <w:rsid w:val="47F4219A"/>
    <w:rsid w:val="48153BEB"/>
    <w:rsid w:val="48537C3E"/>
    <w:rsid w:val="485E0861"/>
    <w:rsid w:val="48691698"/>
    <w:rsid w:val="48813425"/>
    <w:rsid w:val="48954080"/>
    <w:rsid w:val="48B22748"/>
    <w:rsid w:val="48CB1CC0"/>
    <w:rsid w:val="490A7640"/>
    <w:rsid w:val="49363170"/>
    <w:rsid w:val="493B6E38"/>
    <w:rsid w:val="495168BA"/>
    <w:rsid w:val="49582843"/>
    <w:rsid w:val="499305D6"/>
    <w:rsid w:val="499975A6"/>
    <w:rsid w:val="49C8100A"/>
    <w:rsid w:val="4A005B68"/>
    <w:rsid w:val="4A2B1E2F"/>
    <w:rsid w:val="4A7244CA"/>
    <w:rsid w:val="4A7758D0"/>
    <w:rsid w:val="4A885CE1"/>
    <w:rsid w:val="4AE07BAB"/>
    <w:rsid w:val="4AF27EB9"/>
    <w:rsid w:val="4B206934"/>
    <w:rsid w:val="4B3777C3"/>
    <w:rsid w:val="4B571928"/>
    <w:rsid w:val="4B7F36D4"/>
    <w:rsid w:val="4BAC1D9D"/>
    <w:rsid w:val="4BBC336A"/>
    <w:rsid w:val="4C0A309B"/>
    <w:rsid w:val="4C183C38"/>
    <w:rsid w:val="4C232A36"/>
    <w:rsid w:val="4C315980"/>
    <w:rsid w:val="4C410B5F"/>
    <w:rsid w:val="4C46430B"/>
    <w:rsid w:val="4C6F66E5"/>
    <w:rsid w:val="4C8E370C"/>
    <w:rsid w:val="4CB8134C"/>
    <w:rsid w:val="4CBB3980"/>
    <w:rsid w:val="4CBB61B1"/>
    <w:rsid w:val="4CD362B7"/>
    <w:rsid w:val="4CEC4A5D"/>
    <w:rsid w:val="4D45749E"/>
    <w:rsid w:val="4D4A2275"/>
    <w:rsid w:val="4D562972"/>
    <w:rsid w:val="4D922FB7"/>
    <w:rsid w:val="4DF22D6C"/>
    <w:rsid w:val="4DFA799E"/>
    <w:rsid w:val="4E3E6F9A"/>
    <w:rsid w:val="4E3F7085"/>
    <w:rsid w:val="4E4A0251"/>
    <w:rsid w:val="4E597C49"/>
    <w:rsid w:val="4E993495"/>
    <w:rsid w:val="4EB2058C"/>
    <w:rsid w:val="4EBC1421"/>
    <w:rsid w:val="4EE52BDF"/>
    <w:rsid w:val="4EEC7BF6"/>
    <w:rsid w:val="4F077813"/>
    <w:rsid w:val="4F1B2096"/>
    <w:rsid w:val="4F1D369F"/>
    <w:rsid w:val="4F290247"/>
    <w:rsid w:val="4F433DC8"/>
    <w:rsid w:val="4F475940"/>
    <w:rsid w:val="4F576FDB"/>
    <w:rsid w:val="4F9B4D0B"/>
    <w:rsid w:val="4FA14EEC"/>
    <w:rsid w:val="4FA2712F"/>
    <w:rsid w:val="4FAE2A65"/>
    <w:rsid w:val="4FEE581C"/>
    <w:rsid w:val="4FF12240"/>
    <w:rsid w:val="4FF77B7C"/>
    <w:rsid w:val="50197A42"/>
    <w:rsid w:val="503608BE"/>
    <w:rsid w:val="503D0CB0"/>
    <w:rsid w:val="50661099"/>
    <w:rsid w:val="507F70BE"/>
    <w:rsid w:val="508364E6"/>
    <w:rsid w:val="509537BA"/>
    <w:rsid w:val="50D77D3F"/>
    <w:rsid w:val="51286AE9"/>
    <w:rsid w:val="515A2EF4"/>
    <w:rsid w:val="5173229A"/>
    <w:rsid w:val="51A87B1B"/>
    <w:rsid w:val="51B463DB"/>
    <w:rsid w:val="51BD3871"/>
    <w:rsid w:val="520F3488"/>
    <w:rsid w:val="5221445E"/>
    <w:rsid w:val="52853336"/>
    <w:rsid w:val="52881D50"/>
    <w:rsid w:val="52B2619C"/>
    <w:rsid w:val="52B368E2"/>
    <w:rsid w:val="52D81245"/>
    <w:rsid w:val="52DE2527"/>
    <w:rsid w:val="534257EE"/>
    <w:rsid w:val="53463941"/>
    <w:rsid w:val="53707DDE"/>
    <w:rsid w:val="53B778F6"/>
    <w:rsid w:val="53D41A3B"/>
    <w:rsid w:val="53EE67E9"/>
    <w:rsid w:val="541411EB"/>
    <w:rsid w:val="54471502"/>
    <w:rsid w:val="54591CDE"/>
    <w:rsid w:val="545D1AE0"/>
    <w:rsid w:val="546F5BEC"/>
    <w:rsid w:val="5486159B"/>
    <w:rsid w:val="54A97792"/>
    <w:rsid w:val="55274423"/>
    <w:rsid w:val="5589190F"/>
    <w:rsid w:val="55D757C4"/>
    <w:rsid w:val="562B2E25"/>
    <w:rsid w:val="5652511E"/>
    <w:rsid w:val="56832D98"/>
    <w:rsid w:val="56BB6658"/>
    <w:rsid w:val="56E07C82"/>
    <w:rsid w:val="56FB2168"/>
    <w:rsid w:val="57003205"/>
    <w:rsid w:val="570B1AB0"/>
    <w:rsid w:val="5739320B"/>
    <w:rsid w:val="575D6D2D"/>
    <w:rsid w:val="5788376B"/>
    <w:rsid w:val="57A71F1A"/>
    <w:rsid w:val="57C31B5E"/>
    <w:rsid w:val="57C568C3"/>
    <w:rsid w:val="57E61AE2"/>
    <w:rsid w:val="57EF1B86"/>
    <w:rsid w:val="58036B5E"/>
    <w:rsid w:val="58506D81"/>
    <w:rsid w:val="58510290"/>
    <w:rsid w:val="585513DF"/>
    <w:rsid w:val="585572BE"/>
    <w:rsid w:val="5857367B"/>
    <w:rsid w:val="58630C91"/>
    <w:rsid w:val="58806997"/>
    <w:rsid w:val="589B064D"/>
    <w:rsid w:val="58B9519B"/>
    <w:rsid w:val="58C64CF3"/>
    <w:rsid w:val="58CB3B78"/>
    <w:rsid w:val="592375BD"/>
    <w:rsid w:val="59C17A7E"/>
    <w:rsid w:val="5A046FEE"/>
    <w:rsid w:val="5A1E0DE5"/>
    <w:rsid w:val="5A24740C"/>
    <w:rsid w:val="5A25148A"/>
    <w:rsid w:val="5A2C210A"/>
    <w:rsid w:val="5A4665FF"/>
    <w:rsid w:val="5A495F21"/>
    <w:rsid w:val="5A4A6B8D"/>
    <w:rsid w:val="5A723A0D"/>
    <w:rsid w:val="5A762255"/>
    <w:rsid w:val="5A8B5604"/>
    <w:rsid w:val="5A9D621A"/>
    <w:rsid w:val="5AA64CED"/>
    <w:rsid w:val="5AAA0AA2"/>
    <w:rsid w:val="5ACF40CD"/>
    <w:rsid w:val="5AEE34FF"/>
    <w:rsid w:val="5B1C0FFF"/>
    <w:rsid w:val="5B563512"/>
    <w:rsid w:val="5B760457"/>
    <w:rsid w:val="5B840ADF"/>
    <w:rsid w:val="5BA01AAA"/>
    <w:rsid w:val="5BD637EC"/>
    <w:rsid w:val="5BDE5A43"/>
    <w:rsid w:val="5C015F30"/>
    <w:rsid w:val="5C34166A"/>
    <w:rsid w:val="5C427B9B"/>
    <w:rsid w:val="5C4B46FE"/>
    <w:rsid w:val="5C6711D1"/>
    <w:rsid w:val="5C7A69B1"/>
    <w:rsid w:val="5CA756EA"/>
    <w:rsid w:val="5CC9383E"/>
    <w:rsid w:val="5CEC3203"/>
    <w:rsid w:val="5D230368"/>
    <w:rsid w:val="5D3E1E81"/>
    <w:rsid w:val="5D4123BC"/>
    <w:rsid w:val="5DE16028"/>
    <w:rsid w:val="5DF92555"/>
    <w:rsid w:val="5DFD198F"/>
    <w:rsid w:val="5E143639"/>
    <w:rsid w:val="5E1463C6"/>
    <w:rsid w:val="5E285861"/>
    <w:rsid w:val="5E2A2989"/>
    <w:rsid w:val="5E31045F"/>
    <w:rsid w:val="5EE2701E"/>
    <w:rsid w:val="5F0A4475"/>
    <w:rsid w:val="5F223877"/>
    <w:rsid w:val="5F7E03D7"/>
    <w:rsid w:val="5F892553"/>
    <w:rsid w:val="5F8F201D"/>
    <w:rsid w:val="5FA93096"/>
    <w:rsid w:val="5FB63A50"/>
    <w:rsid w:val="5FC85A26"/>
    <w:rsid w:val="5FCF67D6"/>
    <w:rsid w:val="5FF07432"/>
    <w:rsid w:val="5FF36B68"/>
    <w:rsid w:val="5FF517E2"/>
    <w:rsid w:val="5FF94643"/>
    <w:rsid w:val="603B618B"/>
    <w:rsid w:val="603F6287"/>
    <w:rsid w:val="607A4BA9"/>
    <w:rsid w:val="60A859A2"/>
    <w:rsid w:val="60D94311"/>
    <w:rsid w:val="60DB2B0C"/>
    <w:rsid w:val="60F83A81"/>
    <w:rsid w:val="612B6AD8"/>
    <w:rsid w:val="615A394A"/>
    <w:rsid w:val="616F5F5D"/>
    <w:rsid w:val="61764662"/>
    <w:rsid w:val="61896009"/>
    <w:rsid w:val="618F5008"/>
    <w:rsid w:val="61933F69"/>
    <w:rsid w:val="619A7179"/>
    <w:rsid w:val="62106F71"/>
    <w:rsid w:val="62163208"/>
    <w:rsid w:val="622E1F65"/>
    <w:rsid w:val="62411940"/>
    <w:rsid w:val="62832BDA"/>
    <w:rsid w:val="62951CF8"/>
    <w:rsid w:val="62F67597"/>
    <w:rsid w:val="62FB1D23"/>
    <w:rsid w:val="630C34D0"/>
    <w:rsid w:val="632D6D85"/>
    <w:rsid w:val="63A37481"/>
    <w:rsid w:val="63AB596E"/>
    <w:rsid w:val="63B41836"/>
    <w:rsid w:val="63EA5541"/>
    <w:rsid w:val="63EC11DC"/>
    <w:rsid w:val="63F75B8A"/>
    <w:rsid w:val="642440D0"/>
    <w:rsid w:val="64312F66"/>
    <w:rsid w:val="647C6454"/>
    <w:rsid w:val="647F6D16"/>
    <w:rsid w:val="64822830"/>
    <w:rsid w:val="64C8510C"/>
    <w:rsid w:val="64EB1866"/>
    <w:rsid w:val="65461E6E"/>
    <w:rsid w:val="65502EF3"/>
    <w:rsid w:val="655120C2"/>
    <w:rsid w:val="65A240BE"/>
    <w:rsid w:val="65A273A9"/>
    <w:rsid w:val="65B97F33"/>
    <w:rsid w:val="65D8234F"/>
    <w:rsid w:val="65FC2771"/>
    <w:rsid w:val="66005BAB"/>
    <w:rsid w:val="660731F4"/>
    <w:rsid w:val="662E2B27"/>
    <w:rsid w:val="667A1231"/>
    <w:rsid w:val="6682104F"/>
    <w:rsid w:val="66A86E2D"/>
    <w:rsid w:val="66C201BF"/>
    <w:rsid w:val="66C42438"/>
    <w:rsid w:val="66F5284E"/>
    <w:rsid w:val="671943EE"/>
    <w:rsid w:val="673E3C3E"/>
    <w:rsid w:val="674E06A1"/>
    <w:rsid w:val="67576D4B"/>
    <w:rsid w:val="679D7D9D"/>
    <w:rsid w:val="67B84A87"/>
    <w:rsid w:val="67E824D2"/>
    <w:rsid w:val="67FD5E1E"/>
    <w:rsid w:val="685A52F7"/>
    <w:rsid w:val="68891665"/>
    <w:rsid w:val="689D1EAA"/>
    <w:rsid w:val="68A54006"/>
    <w:rsid w:val="68D42FFF"/>
    <w:rsid w:val="68D66092"/>
    <w:rsid w:val="68E84B74"/>
    <w:rsid w:val="6914516D"/>
    <w:rsid w:val="69A41B98"/>
    <w:rsid w:val="69D9569F"/>
    <w:rsid w:val="69DB401D"/>
    <w:rsid w:val="6A3001E9"/>
    <w:rsid w:val="6A744564"/>
    <w:rsid w:val="6A757894"/>
    <w:rsid w:val="6AA35B41"/>
    <w:rsid w:val="6AB3275D"/>
    <w:rsid w:val="6AB94913"/>
    <w:rsid w:val="6B0D2C77"/>
    <w:rsid w:val="6B146E39"/>
    <w:rsid w:val="6B2B49E1"/>
    <w:rsid w:val="6B8E2CC8"/>
    <w:rsid w:val="6BA6445F"/>
    <w:rsid w:val="6BB554FE"/>
    <w:rsid w:val="6BC02B2A"/>
    <w:rsid w:val="6BE00EB8"/>
    <w:rsid w:val="6BF65521"/>
    <w:rsid w:val="6C1363EA"/>
    <w:rsid w:val="6C3B68E9"/>
    <w:rsid w:val="6C481EE1"/>
    <w:rsid w:val="6C4C1A7E"/>
    <w:rsid w:val="6C9803A4"/>
    <w:rsid w:val="6CD84C1C"/>
    <w:rsid w:val="6CE15464"/>
    <w:rsid w:val="6CF10A2F"/>
    <w:rsid w:val="6D073433"/>
    <w:rsid w:val="6D194476"/>
    <w:rsid w:val="6D243939"/>
    <w:rsid w:val="6D3664FC"/>
    <w:rsid w:val="6D377DBC"/>
    <w:rsid w:val="6D447778"/>
    <w:rsid w:val="6D470009"/>
    <w:rsid w:val="6D477900"/>
    <w:rsid w:val="6D84645E"/>
    <w:rsid w:val="6DA30338"/>
    <w:rsid w:val="6DF362B1"/>
    <w:rsid w:val="6E0D34FC"/>
    <w:rsid w:val="6E2607E4"/>
    <w:rsid w:val="6E295EDD"/>
    <w:rsid w:val="6E5261F1"/>
    <w:rsid w:val="6E7D48F4"/>
    <w:rsid w:val="6EA152E7"/>
    <w:rsid w:val="6EB9421F"/>
    <w:rsid w:val="6ED35FC5"/>
    <w:rsid w:val="6ED53DCE"/>
    <w:rsid w:val="6EDB433C"/>
    <w:rsid w:val="6EE10B05"/>
    <w:rsid w:val="6EE9415C"/>
    <w:rsid w:val="6F0472BB"/>
    <w:rsid w:val="6F09197C"/>
    <w:rsid w:val="6F28212F"/>
    <w:rsid w:val="6F5A306E"/>
    <w:rsid w:val="6F5B3B07"/>
    <w:rsid w:val="6F63215C"/>
    <w:rsid w:val="6F6C74CA"/>
    <w:rsid w:val="6F7346C1"/>
    <w:rsid w:val="6F7A7501"/>
    <w:rsid w:val="6F893F72"/>
    <w:rsid w:val="6F8A4A18"/>
    <w:rsid w:val="6FA74B9D"/>
    <w:rsid w:val="6FAD5E72"/>
    <w:rsid w:val="6FB91944"/>
    <w:rsid w:val="6FCC50AE"/>
    <w:rsid w:val="6FE54985"/>
    <w:rsid w:val="7004295F"/>
    <w:rsid w:val="70C410F0"/>
    <w:rsid w:val="70C84FA0"/>
    <w:rsid w:val="70E3183A"/>
    <w:rsid w:val="70F95DD4"/>
    <w:rsid w:val="71077AC2"/>
    <w:rsid w:val="712D722C"/>
    <w:rsid w:val="71462279"/>
    <w:rsid w:val="715D24FB"/>
    <w:rsid w:val="715F69B7"/>
    <w:rsid w:val="71A558E7"/>
    <w:rsid w:val="71B2246A"/>
    <w:rsid w:val="71B752EE"/>
    <w:rsid w:val="71EF7570"/>
    <w:rsid w:val="724062B5"/>
    <w:rsid w:val="724128A7"/>
    <w:rsid w:val="72700C83"/>
    <w:rsid w:val="727B7B6A"/>
    <w:rsid w:val="72E54624"/>
    <w:rsid w:val="733C1E90"/>
    <w:rsid w:val="73524061"/>
    <w:rsid w:val="735C70F8"/>
    <w:rsid w:val="736D5763"/>
    <w:rsid w:val="738F69C0"/>
    <w:rsid w:val="740270CF"/>
    <w:rsid w:val="74044161"/>
    <w:rsid w:val="744446C4"/>
    <w:rsid w:val="744E6EF3"/>
    <w:rsid w:val="744F05D4"/>
    <w:rsid w:val="74641E1C"/>
    <w:rsid w:val="74AE3341"/>
    <w:rsid w:val="74B3111B"/>
    <w:rsid w:val="74EB30D2"/>
    <w:rsid w:val="74EE31EA"/>
    <w:rsid w:val="751D12C7"/>
    <w:rsid w:val="752774A0"/>
    <w:rsid w:val="753A0F5B"/>
    <w:rsid w:val="7548033E"/>
    <w:rsid w:val="754C317F"/>
    <w:rsid w:val="75810DBF"/>
    <w:rsid w:val="7582554A"/>
    <w:rsid w:val="75842DFC"/>
    <w:rsid w:val="759C5DA0"/>
    <w:rsid w:val="75B42C93"/>
    <w:rsid w:val="75BE0722"/>
    <w:rsid w:val="75E206DF"/>
    <w:rsid w:val="75F520B4"/>
    <w:rsid w:val="75FA7D21"/>
    <w:rsid w:val="760B3D73"/>
    <w:rsid w:val="762441D9"/>
    <w:rsid w:val="764C3CA2"/>
    <w:rsid w:val="765743A7"/>
    <w:rsid w:val="765D2F1A"/>
    <w:rsid w:val="765E4AF2"/>
    <w:rsid w:val="76675EF0"/>
    <w:rsid w:val="767B2832"/>
    <w:rsid w:val="768B03E7"/>
    <w:rsid w:val="76A90D9C"/>
    <w:rsid w:val="76B12A6F"/>
    <w:rsid w:val="77247924"/>
    <w:rsid w:val="7726248F"/>
    <w:rsid w:val="7760065F"/>
    <w:rsid w:val="776B42F4"/>
    <w:rsid w:val="778B7998"/>
    <w:rsid w:val="77AF43FE"/>
    <w:rsid w:val="77CA38FE"/>
    <w:rsid w:val="77D60637"/>
    <w:rsid w:val="77D62A56"/>
    <w:rsid w:val="77E62733"/>
    <w:rsid w:val="77EB74F7"/>
    <w:rsid w:val="77F84B71"/>
    <w:rsid w:val="780531D6"/>
    <w:rsid w:val="78293DC3"/>
    <w:rsid w:val="78417A06"/>
    <w:rsid w:val="785D218D"/>
    <w:rsid w:val="787A2F5B"/>
    <w:rsid w:val="788C2FEE"/>
    <w:rsid w:val="78CB0936"/>
    <w:rsid w:val="78E35D17"/>
    <w:rsid w:val="78EF09FF"/>
    <w:rsid w:val="78EF19AD"/>
    <w:rsid w:val="790C0EF7"/>
    <w:rsid w:val="7920299E"/>
    <w:rsid w:val="79307089"/>
    <w:rsid w:val="79365331"/>
    <w:rsid w:val="79453808"/>
    <w:rsid w:val="79531CC5"/>
    <w:rsid w:val="7972700B"/>
    <w:rsid w:val="79A56DCA"/>
    <w:rsid w:val="79A86542"/>
    <w:rsid w:val="79C915DE"/>
    <w:rsid w:val="7A3A078E"/>
    <w:rsid w:val="7A550A32"/>
    <w:rsid w:val="7A601930"/>
    <w:rsid w:val="7A815E78"/>
    <w:rsid w:val="7A817A12"/>
    <w:rsid w:val="7A850292"/>
    <w:rsid w:val="7A9F5A78"/>
    <w:rsid w:val="7AC528C4"/>
    <w:rsid w:val="7B0320BB"/>
    <w:rsid w:val="7B48683A"/>
    <w:rsid w:val="7B557CBA"/>
    <w:rsid w:val="7B5622D1"/>
    <w:rsid w:val="7B755A82"/>
    <w:rsid w:val="7BA576CC"/>
    <w:rsid w:val="7BC864F5"/>
    <w:rsid w:val="7BCD7043"/>
    <w:rsid w:val="7BD77C15"/>
    <w:rsid w:val="7BE24A5F"/>
    <w:rsid w:val="7C120FB7"/>
    <w:rsid w:val="7C1C7594"/>
    <w:rsid w:val="7C330F79"/>
    <w:rsid w:val="7C6C512B"/>
    <w:rsid w:val="7C78289D"/>
    <w:rsid w:val="7C795564"/>
    <w:rsid w:val="7CCA7032"/>
    <w:rsid w:val="7CE00E44"/>
    <w:rsid w:val="7CEC648C"/>
    <w:rsid w:val="7D342AD4"/>
    <w:rsid w:val="7D3E1E75"/>
    <w:rsid w:val="7D5D751D"/>
    <w:rsid w:val="7DAA16F6"/>
    <w:rsid w:val="7DAC1B73"/>
    <w:rsid w:val="7DED0826"/>
    <w:rsid w:val="7E0C1718"/>
    <w:rsid w:val="7E183EEA"/>
    <w:rsid w:val="7E416C5D"/>
    <w:rsid w:val="7E437B59"/>
    <w:rsid w:val="7E7802AC"/>
    <w:rsid w:val="7E796EC2"/>
    <w:rsid w:val="7E855AE7"/>
    <w:rsid w:val="7E897687"/>
    <w:rsid w:val="7E9D718F"/>
    <w:rsid w:val="7EA4340E"/>
    <w:rsid w:val="7EC80D2A"/>
    <w:rsid w:val="7ECA60B0"/>
    <w:rsid w:val="7F684AF8"/>
    <w:rsid w:val="7F912BF1"/>
    <w:rsid w:val="7FAA79E9"/>
    <w:rsid w:val="7FB074B2"/>
    <w:rsid w:val="7FD16149"/>
    <w:rsid w:val="7FEF68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toc 8"/>
    <w:basedOn w:val="18"/>
    <w:next w:val="1"/>
    <w:qFormat/>
    <w:uiPriority w:val="39"/>
    <w:pPr>
      <w:spacing w:before="180"/>
      <w:ind w:left="2693" w:hanging="2693"/>
    </w:pPr>
    <w:rPr>
      <w:b/>
    </w:rPr>
  </w:style>
  <w:style w:type="paragraph" w:styleId="22">
    <w:name w:val="Balloon Text"/>
    <w:basedOn w:val="1"/>
    <w:link w:val="68"/>
    <w:qFormat/>
    <w:uiPriority w:val="0"/>
    <w:pPr>
      <w:spacing w:after="0"/>
    </w:pPr>
    <w:rPr>
      <w:rFonts w:ascii="Segoe UI" w:hAnsi="Segoe UI" w:cs="Segoe UI"/>
      <w:sz w:val="18"/>
      <w:szCs w:val="18"/>
    </w:rPr>
  </w:style>
  <w:style w:type="paragraph" w:styleId="23">
    <w:name w:val="footer"/>
    <w:basedOn w:val="1"/>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List"/>
    <w:basedOn w:val="1"/>
    <w:qFormat/>
    <w:uiPriority w:val="0"/>
    <w:pPr>
      <w:ind w:left="568" w:hanging="284"/>
    </w:pPr>
  </w:style>
  <w:style w:type="paragraph" w:styleId="26">
    <w:name w:val="toc 9"/>
    <w:basedOn w:val="21"/>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semiHidden/>
    <w:qFormat/>
    <w:uiPriority w:val="0"/>
  </w:style>
  <w:style w:type="character" w:styleId="31">
    <w:name w:val="FollowedHyperlink"/>
    <w:basedOn w:val="29"/>
    <w:qFormat/>
    <w:uiPriority w:val="0"/>
    <w:rPr>
      <w:color w:val="954F72" w:themeColor="followedHyperlink"/>
      <w:u w:val="single"/>
      <w14:textFill>
        <w14:solidFill>
          <w14:schemeClr w14:val="folHlink"/>
        </w14:solidFill>
      </w14:textFill>
    </w:rPr>
  </w:style>
  <w:style w:type="character" w:styleId="32">
    <w:name w:val="Hyperlink"/>
    <w:basedOn w:val="29"/>
    <w:qFormat/>
    <w:uiPriority w:val="0"/>
    <w:rPr>
      <w:color w:val="0563C1" w:themeColor="hyperlink"/>
      <w:u w:val="single"/>
      <w14:textFill>
        <w14:solidFill>
          <w14:schemeClr w14:val="hlink"/>
        </w14:solidFill>
      </w14:textFill>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5"/>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2"/>
    <w:qFormat/>
    <w:uiPriority w:val="0"/>
    <w:rPr>
      <w:rFonts w:ascii="Segoe UI" w:hAnsi="Segoe UI" w:cs="Segoe UI"/>
      <w:sz w:val="18"/>
      <w:szCs w:val="18"/>
      <w:lang w:eastAsia="en-US"/>
    </w:rPr>
  </w:style>
  <w:style w:type="character" w:customStyle="1" w:styleId="69">
    <w:name w:val="Unresolved Mention"/>
    <w:basedOn w:val="29"/>
    <w:semiHidden/>
    <w:unhideWhenUsed/>
    <w:qFormat/>
    <w:uiPriority w:val="99"/>
    <w:rPr>
      <w:color w:val="605E5C"/>
      <w:shd w:val="clear" w:color="auto" w:fill="E1DFDD"/>
    </w:rPr>
  </w:style>
  <w:style w:type="paragraph" w:styleId="70">
    <w:name w:val="List Paragraph"/>
    <w:basedOn w:val="1"/>
    <w:link w:val="71"/>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1">
    <w:name w:val="List Paragraph Char"/>
    <w:link w:val="70"/>
    <w:qFormat/>
    <w:locked/>
    <w:uiPriority w:val="34"/>
    <w:rPr>
      <w:rFonts w:asciiTheme="minorHAnsi" w:hAnsiTheme="minorHAnsi" w:eastAsiaTheme="minorHAnsi" w:cstheme="minorBidi"/>
      <w:sz w:val="22"/>
      <w:szCs w:val="22"/>
      <w:lang w:val="sv-SE" w:eastAsia="en-US"/>
    </w:rPr>
  </w:style>
  <w:style w:type="paragraph" w:customStyle="1" w:styleId="72">
    <w:name w:val="CR Cover Page"/>
    <w:link w:val="73"/>
    <w:qFormat/>
    <w:uiPriority w:val="0"/>
    <w:pPr>
      <w:spacing w:after="120"/>
    </w:pPr>
    <w:rPr>
      <w:rFonts w:ascii="Arial" w:hAnsi="Arial" w:eastAsia="Times New Roman" w:cs="Times New Roman"/>
      <w:lang w:val="en-GB" w:eastAsia="en-US" w:bidi="ar-SA"/>
    </w:rPr>
  </w:style>
  <w:style w:type="character" w:customStyle="1" w:styleId="73">
    <w:name w:val="CR Cover Page Char"/>
    <w:link w:val="72"/>
    <w:qFormat/>
    <w:uiPriority w:val="0"/>
    <w:rPr>
      <w:rFonts w:ascii="Arial" w:hAnsi="Arial"/>
      <w:lang w:eastAsia="en-US"/>
    </w:rPr>
  </w:style>
  <w:style w:type="paragraph" w:customStyle="1" w:styleId="74">
    <w:name w:val="RAN4 H1"/>
    <w:basedOn w:val="1"/>
    <w:next w:val="1"/>
    <w:link w:val="75"/>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5">
    <w:name w:val="RAN4 H1 Char"/>
    <w:basedOn w:val="29"/>
    <w:link w:val="74"/>
    <w:qFormat/>
    <w:uiPriority w:val="0"/>
    <w:rPr>
      <w:rFonts w:ascii="Arial" w:hAnsi="Arial" w:eastAsia="宋体" w:cs="Times New Roman"/>
      <w:sz w:val="36"/>
      <w:szCs w:val="20"/>
      <w:lang w:val="en-GB"/>
    </w:rPr>
  </w:style>
  <w:style w:type="paragraph" w:customStyle="1" w:styleId="76">
    <w:name w:val="RAN4 H2"/>
    <w:basedOn w:val="3"/>
    <w:next w:val="1"/>
    <w:qFormat/>
    <w:uiPriority w:val="0"/>
    <w:pPr>
      <w:numPr>
        <w:ilvl w:val="1"/>
        <w:numId w:val="1"/>
      </w:numPr>
      <w:ind w:left="431" w:hanging="431"/>
    </w:pPr>
    <w:rPr>
      <w:lang w:val="en-US"/>
    </w:rPr>
  </w:style>
  <w:style w:type="paragraph" w:customStyle="1" w:styleId="77">
    <w:name w:val="RAN4 proposal"/>
    <w:basedOn w:val="19"/>
    <w:next w:val="1"/>
    <w:qFormat/>
    <w:uiPriority w:val="0"/>
    <w:pPr>
      <w:numPr>
        <w:ilvl w:val="0"/>
        <w:numId w:val="2"/>
      </w:numPr>
      <w:ind w:left="0" w:firstLine="0"/>
      <w:jc w:val="left"/>
    </w:pPr>
    <w:rPr>
      <w:rFonts w:ascii="Times New Roman" w:hAnsi="Times New Roman"/>
      <w:b/>
      <w:i w:val="0"/>
      <w:sz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wmf"/><Relationship Id="rId12" Type="http://schemas.openxmlformats.org/officeDocument/2006/relationships/oleObject" Target="embeddings/oleObject2.bin"/><Relationship Id="rId11" Type="http://schemas.openxmlformats.org/officeDocument/2006/relationships/image" Target="media/image5.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914</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2023-08-11T07:42:50Z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